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5B8EF" w14:textId="7BA0E855" w:rsidR="00B911AE" w:rsidRDefault="00B911AE" w:rsidP="00B911AE">
      <w:pPr>
        <w:spacing w:before="240" w:after="120"/>
        <w:jc w:val="both"/>
        <w:rPr>
          <w:sz w:val="24"/>
          <w:szCs w:val="24"/>
          <w:u w:val="single"/>
          <w:lang w:val="es-ES"/>
        </w:rPr>
      </w:pPr>
      <w:r w:rsidRPr="00525724">
        <w:rPr>
          <w:sz w:val="24"/>
          <w:szCs w:val="24"/>
          <w:u w:val="single"/>
          <w:lang w:val="es-ES"/>
        </w:rPr>
        <w:t>Armand Mattelart. Interpretación crítica de la globalización</w:t>
      </w:r>
    </w:p>
    <w:p w14:paraId="2747A36E" w14:textId="7B5D84A7" w:rsidR="003C1DBC" w:rsidRPr="003C1DBC" w:rsidRDefault="003C1DBC" w:rsidP="003C1DBC">
      <w:pPr>
        <w:spacing w:before="240" w:after="120"/>
        <w:jc w:val="both"/>
        <w:rPr>
          <w:sz w:val="24"/>
          <w:szCs w:val="24"/>
          <w:lang w:val="es-ES"/>
        </w:rPr>
      </w:pPr>
      <w:r>
        <w:rPr>
          <w:sz w:val="24"/>
          <w:szCs w:val="24"/>
          <w:lang w:val="es-ES"/>
        </w:rPr>
        <w:t>(</w:t>
      </w:r>
      <w:r w:rsidRPr="003C1DBC">
        <w:rPr>
          <w:sz w:val="24"/>
          <w:szCs w:val="24"/>
          <w:lang w:val="es-ES"/>
        </w:rPr>
        <w:t xml:space="preserve">En Miquel de Moragas. </w:t>
      </w:r>
      <w:r w:rsidRPr="002F490C">
        <w:rPr>
          <w:i/>
          <w:iCs/>
          <w:sz w:val="24"/>
          <w:szCs w:val="24"/>
          <w:lang w:val="es-ES"/>
        </w:rPr>
        <w:t>Interpretar la comunicación. Estudios sobre medios en América y Europa</w:t>
      </w:r>
      <w:r w:rsidRPr="003C1DBC">
        <w:rPr>
          <w:sz w:val="24"/>
          <w:szCs w:val="24"/>
          <w:lang w:val="es-ES"/>
        </w:rPr>
        <w:t>, Gedisa, Barcelona, 2001</w:t>
      </w:r>
      <w:r>
        <w:rPr>
          <w:sz w:val="24"/>
          <w:szCs w:val="24"/>
          <w:lang w:val="es-ES"/>
        </w:rPr>
        <w:t>)</w:t>
      </w:r>
    </w:p>
    <w:p w14:paraId="0255756D" w14:textId="77777777" w:rsidR="003C1DBC" w:rsidRPr="003C1DBC" w:rsidRDefault="003C1DBC" w:rsidP="003C1DBC">
      <w:pPr>
        <w:spacing w:before="240" w:after="120"/>
        <w:jc w:val="both"/>
        <w:rPr>
          <w:sz w:val="24"/>
          <w:szCs w:val="24"/>
          <w:u w:val="single"/>
          <w:lang w:val="es-ES"/>
        </w:rPr>
      </w:pPr>
    </w:p>
    <w:p w14:paraId="3AD93F95" w14:textId="23868E7F" w:rsidR="003C1DBC" w:rsidRPr="00525724" w:rsidRDefault="003C1DBC" w:rsidP="00B911AE">
      <w:pPr>
        <w:spacing w:before="240" w:after="120"/>
        <w:jc w:val="both"/>
        <w:rPr>
          <w:sz w:val="24"/>
          <w:szCs w:val="24"/>
          <w:lang w:val="es-ES"/>
        </w:rPr>
      </w:pPr>
    </w:p>
    <w:p w14:paraId="1D048EF4" w14:textId="77777777" w:rsidR="00B911AE" w:rsidRPr="00525724" w:rsidRDefault="00B911AE" w:rsidP="00B911AE">
      <w:pPr>
        <w:pStyle w:val="Senseespaiat"/>
        <w:spacing w:after="120" w:line="276" w:lineRule="auto"/>
        <w:jc w:val="both"/>
        <w:rPr>
          <w:sz w:val="24"/>
          <w:szCs w:val="24"/>
          <w:lang w:val="es-ES"/>
        </w:rPr>
      </w:pPr>
      <w:r w:rsidRPr="00525724">
        <w:rPr>
          <w:sz w:val="24"/>
          <w:szCs w:val="24"/>
          <w:lang w:val="es-ES"/>
        </w:rPr>
        <w:t>La obra de Armand Mattelart ha tenido una gran repercusión internacional, muy especialmente en Latinoamérica (</w:t>
      </w:r>
      <w:proofErr w:type="spellStart"/>
      <w:r w:rsidRPr="00525724">
        <w:rPr>
          <w:rFonts w:eastAsia="Times New Roman"/>
          <w:bCs/>
          <w:sz w:val="24"/>
          <w:szCs w:val="24"/>
          <w:lang w:val="es-ES"/>
        </w:rPr>
        <w:t>Esteinou</w:t>
      </w:r>
      <w:proofErr w:type="spellEnd"/>
      <w:r w:rsidRPr="00525724">
        <w:rPr>
          <w:rFonts w:eastAsia="Times New Roman"/>
          <w:bCs/>
          <w:sz w:val="24"/>
          <w:szCs w:val="24"/>
          <w:lang w:val="es-ES"/>
        </w:rPr>
        <w:t xml:space="preserve"> Madrid, 2001)</w:t>
      </w:r>
      <w:r w:rsidRPr="00525724">
        <w:rPr>
          <w:sz w:val="24"/>
          <w:szCs w:val="24"/>
          <w:lang w:val="es-ES"/>
        </w:rPr>
        <w:t xml:space="preserve">. Alguno de sus libros más emblemáticos fueron escritos con </w:t>
      </w:r>
      <w:proofErr w:type="spellStart"/>
      <w:r w:rsidRPr="00525724">
        <w:rPr>
          <w:sz w:val="24"/>
          <w:szCs w:val="24"/>
          <w:lang w:val="es-ES"/>
        </w:rPr>
        <w:t>Michèle</w:t>
      </w:r>
      <w:proofErr w:type="spellEnd"/>
      <w:r w:rsidRPr="00525724">
        <w:rPr>
          <w:sz w:val="24"/>
          <w:szCs w:val="24"/>
          <w:lang w:val="es-ES"/>
        </w:rPr>
        <w:t xml:space="preserve"> Mattelart (Mattelart y Mattelart, 1980, 1981, 1987 y 1977) o con otros autores como Ariel Dorfman (Dorfman y Mattelart, 1972), Erik </w:t>
      </w:r>
      <w:proofErr w:type="spellStart"/>
      <w:r w:rsidRPr="00525724">
        <w:rPr>
          <w:sz w:val="24"/>
          <w:szCs w:val="24"/>
          <w:lang w:val="es-ES"/>
        </w:rPr>
        <w:t>Neveu</w:t>
      </w:r>
      <w:proofErr w:type="spellEnd"/>
      <w:r w:rsidRPr="00525724">
        <w:rPr>
          <w:sz w:val="24"/>
          <w:szCs w:val="24"/>
          <w:lang w:val="es-ES"/>
        </w:rPr>
        <w:t xml:space="preserve"> (Mattelart y </w:t>
      </w:r>
      <w:proofErr w:type="spellStart"/>
      <w:r w:rsidRPr="00525724">
        <w:rPr>
          <w:sz w:val="24"/>
          <w:szCs w:val="24"/>
          <w:lang w:val="es-ES"/>
        </w:rPr>
        <w:t>Neveu</w:t>
      </w:r>
      <w:proofErr w:type="spellEnd"/>
      <w:r w:rsidRPr="00525724">
        <w:rPr>
          <w:sz w:val="24"/>
          <w:szCs w:val="24"/>
          <w:lang w:val="es-ES"/>
        </w:rPr>
        <w:t xml:space="preserve">, 2002) o Héctor </w:t>
      </w:r>
      <w:proofErr w:type="spellStart"/>
      <w:r w:rsidRPr="00525724">
        <w:rPr>
          <w:sz w:val="24"/>
          <w:szCs w:val="24"/>
          <w:lang w:val="es-ES"/>
        </w:rPr>
        <w:t>Schmucler</w:t>
      </w:r>
      <w:proofErr w:type="spellEnd"/>
      <w:r w:rsidRPr="00525724">
        <w:rPr>
          <w:sz w:val="24"/>
          <w:szCs w:val="24"/>
          <w:lang w:val="es-ES"/>
        </w:rPr>
        <w:t xml:space="preserve"> (Mattelart y </w:t>
      </w:r>
      <w:proofErr w:type="spellStart"/>
      <w:r w:rsidRPr="00525724">
        <w:rPr>
          <w:sz w:val="24"/>
          <w:szCs w:val="24"/>
          <w:lang w:val="es-ES"/>
        </w:rPr>
        <w:t>Schmucler</w:t>
      </w:r>
      <w:proofErr w:type="spellEnd"/>
      <w:r w:rsidRPr="00525724">
        <w:rPr>
          <w:sz w:val="24"/>
          <w:szCs w:val="24"/>
          <w:lang w:val="es-ES"/>
        </w:rPr>
        <w:t xml:space="preserve">, 1983), y tienen un amplísimo recorrido, siempre desde la óptica de la aportación crítica a los estudios de comunicación, atento a las formas de dominio impuestas por el complejo militar-industrial-civil internacional. </w:t>
      </w:r>
    </w:p>
    <w:p w14:paraId="52ECF04B" w14:textId="77777777" w:rsidR="00B911AE" w:rsidRPr="00525724" w:rsidRDefault="00B911AE" w:rsidP="00B911AE">
      <w:pPr>
        <w:pStyle w:val="Senseespaiat"/>
        <w:spacing w:after="120" w:line="276" w:lineRule="auto"/>
        <w:jc w:val="both"/>
        <w:rPr>
          <w:sz w:val="24"/>
          <w:szCs w:val="24"/>
          <w:lang w:val="es-ES"/>
        </w:rPr>
      </w:pPr>
      <w:r w:rsidRPr="00525724">
        <w:rPr>
          <w:sz w:val="24"/>
          <w:szCs w:val="24"/>
          <w:lang w:val="es-ES"/>
        </w:rPr>
        <w:t xml:space="preserve">Llegado a Chile en los años 60 realiza sus primeros trabajos sobre temas de su formación, la demografía (Mattelart, 1967), pero pronto dedicará su atención a los medios de comunicación y a su dimensión ideológica coincidiendo con las demandas de conocimientos sobre esta temática en la sociedad chilena durante el período de gobierno de la Unidad Popular presidido por Salvador Allende (1970-1973). </w:t>
      </w:r>
    </w:p>
    <w:p w14:paraId="66CB5C4A" w14:textId="77777777" w:rsidR="00B911AE" w:rsidRPr="00525724" w:rsidRDefault="00B911AE" w:rsidP="00B911AE">
      <w:pPr>
        <w:spacing w:after="120"/>
        <w:jc w:val="both"/>
        <w:rPr>
          <w:sz w:val="24"/>
          <w:szCs w:val="24"/>
          <w:lang w:val="es-ES"/>
        </w:rPr>
      </w:pPr>
      <w:r w:rsidRPr="00525724">
        <w:rPr>
          <w:sz w:val="24"/>
          <w:szCs w:val="24"/>
          <w:lang w:val="es-ES"/>
        </w:rPr>
        <w:t xml:space="preserve">Sus primeros trabajos sobre comunicación se realizan en el Centro de Estudios de la Realidad Nacional (CEREN) y se dedican al análisis de la realidad mediática en Chile, pero también a teorizar sobre la comunicación como instrumento de dominación. De esta época destacan sus libros </w:t>
      </w:r>
      <w:r w:rsidRPr="00525724">
        <w:rPr>
          <w:i/>
          <w:sz w:val="24"/>
          <w:szCs w:val="24"/>
          <w:lang w:val="es-ES"/>
        </w:rPr>
        <w:t>Agresión desde el espacio. Cultura y napalm en la era de los satélites</w:t>
      </w:r>
      <w:r w:rsidRPr="00525724">
        <w:rPr>
          <w:sz w:val="24"/>
          <w:szCs w:val="24"/>
          <w:lang w:val="es-ES"/>
        </w:rPr>
        <w:t xml:space="preserve"> (Mattelart, 1972) y </w:t>
      </w:r>
      <w:r w:rsidRPr="00525724">
        <w:rPr>
          <w:i/>
          <w:sz w:val="24"/>
          <w:szCs w:val="24"/>
          <w:lang w:val="es-ES"/>
        </w:rPr>
        <w:t xml:space="preserve">Para Leer al Pato Donald </w:t>
      </w:r>
      <w:r w:rsidRPr="00525724">
        <w:rPr>
          <w:sz w:val="24"/>
          <w:szCs w:val="24"/>
          <w:lang w:val="es-ES"/>
        </w:rPr>
        <w:t>(Mattelart y Dorfman 1972) obra de la que constan más de 30 ediciones y en las que se analiza, a través de un objeto “aparentemente neutral”, las influencias de la cultura dominante sobre las formas de vivir y de comprender la sociedad.</w:t>
      </w:r>
      <w:r w:rsidRPr="00525724">
        <w:rPr>
          <w:i/>
          <w:sz w:val="24"/>
          <w:szCs w:val="24"/>
          <w:lang w:val="es-ES"/>
        </w:rPr>
        <w:t xml:space="preserve"> </w:t>
      </w:r>
      <w:r w:rsidRPr="00525724">
        <w:rPr>
          <w:sz w:val="24"/>
          <w:szCs w:val="24"/>
          <w:lang w:val="es-ES"/>
        </w:rPr>
        <w:t xml:space="preserve">Le seguirán los primeros trabajos teóricos sobre la aplicación del análisis marxista y la perspectiva de la lucha de clases a la comprensión del papel de los medios de comunicación: </w:t>
      </w:r>
      <w:r w:rsidRPr="00525724">
        <w:rPr>
          <w:bCs/>
          <w:i/>
          <w:sz w:val="24"/>
          <w:szCs w:val="24"/>
          <w:lang w:val="es-ES"/>
        </w:rPr>
        <w:t>La comunicación masiva en el proceso de liberación</w:t>
      </w:r>
      <w:r w:rsidRPr="00525724">
        <w:rPr>
          <w:sz w:val="24"/>
          <w:szCs w:val="24"/>
          <w:lang w:val="es-ES"/>
        </w:rPr>
        <w:t xml:space="preserve"> (Mattelart, 1973) y</w:t>
      </w:r>
      <w:r w:rsidRPr="00525724">
        <w:rPr>
          <w:i/>
          <w:sz w:val="24"/>
          <w:szCs w:val="24"/>
          <w:lang w:val="es-ES"/>
        </w:rPr>
        <w:t xml:space="preserve"> Medios masivos y lucha de clases </w:t>
      </w:r>
      <w:r w:rsidRPr="00525724">
        <w:rPr>
          <w:sz w:val="24"/>
          <w:szCs w:val="24"/>
          <w:lang w:val="es-ES"/>
        </w:rPr>
        <w:t xml:space="preserve">(Mattelart, 1976). </w:t>
      </w:r>
    </w:p>
    <w:p w14:paraId="22A06411" w14:textId="77777777" w:rsidR="00B911AE" w:rsidRPr="00525724" w:rsidRDefault="00B911AE" w:rsidP="00B911AE">
      <w:pPr>
        <w:spacing w:after="120"/>
        <w:jc w:val="both"/>
        <w:rPr>
          <w:strike/>
          <w:sz w:val="24"/>
          <w:szCs w:val="24"/>
          <w:lang w:val="es-ES"/>
        </w:rPr>
      </w:pPr>
      <w:r w:rsidRPr="00525724">
        <w:rPr>
          <w:sz w:val="24"/>
          <w:szCs w:val="24"/>
          <w:lang w:val="es-ES"/>
        </w:rPr>
        <w:t xml:space="preserve">Es en esta misma época que codirige con Héctor </w:t>
      </w:r>
      <w:proofErr w:type="spellStart"/>
      <w:r w:rsidRPr="00525724">
        <w:rPr>
          <w:sz w:val="24"/>
          <w:szCs w:val="24"/>
          <w:lang w:val="es-ES"/>
        </w:rPr>
        <w:t>Schmucler</w:t>
      </w:r>
      <w:proofErr w:type="spellEnd"/>
      <w:r w:rsidRPr="00525724">
        <w:rPr>
          <w:sz w:val="24"/>
          <w:szCs w:val="24"/>
          <w:lang w:val="es-ES"/>
        </w:rPr>
        <w:t xml:space="preserve"> la mencionada revista de pensamiento crítico </w:t>
      </w:r>
      <w:r w:rsidRPr="00525724">
        <w:rPr>
          <w:i/>
          <w:sz w:val="24"/>
          <w:szCs w:val="24"/>
          <w:lang w:val="es-ES"/>
        </w:rPr>
        <w:t>Comunicación y cultura</w:t>
      </w:r>
      <w:r w:rsidRPr="00525724">
        <w:rPr>
          <w:sz w:val="24"/>
          <w:szCs w:val="24"/>
          <w:lang w:val="es-ES"/>
        </w:rPr>
        <w:t>.</w:t>
      </w:r>
    </w:p>
    <w:p w14:paraId="7E2BAA34" w14:textId="77777777" w:rsidR="00B911AE" w:rsidRPr="00525724" w:rsidRDefault="00B911AE" w:rsidP="00B911AE">
      <w:pPr>
        <w:jc w:val="both"/>
        <w:rPr>
          <w:sz w:val="24"/>
          <w:szCs w:val="24"/>
          <w:lang w:val="es-ES"/>
        </w:rPr>
      </w:pPr>
      <w:r w:rsidRPr="00525724">
        <w:rPr>
          <w:sz w:val="24"/>
          <w:szCs w:val="24"/>
          <w:lang w:val="es-ES"/>
        </w:rPr>
        <w:t xml:space="preserve">Durante los años que duró el gobierno de la Unidad Popular se enfrenta a múltiples interrogantes sobre la comunicación: dificultad para replantear las relaciones entre los medios y sus usuarios, dificultad para imaginar formas de participación distintas, dificultad para encontrar formas de control democrático de los medios, dificultad para asociar los medios a formas de desarrollo social, dificultad para controlar flujos de información imbricados en una estructura trasnacional de la producción cultural e informativa, etc. </w:t>
      </w:r>
    </w:p>
    <w:p w14:paraId="6C2D7869" w14:textId="77777777" w:rsidR="00B911AE" w:rsidRPr="00525724" w:rsidRDefault="00B911AE" w:rsidP="00B911AE">
      <w:pPr>
        <w:spacing w:before="120" w:after="120"/>
        <w:jc w:val="both"/>
        <w:rPr>
          <w:sz w:val="24"/>
          <w:szCs w:val="24"/>
          <w:lang w:val="es-ES"/>
        </w:rPr>
      </w:pPr>
      <w:r w:rsidRPr="00525724">
        <w:rPr>
          <w:sz w:val="24"/>
          <w:szCs w:val="24"/>
          <w:lang w:val="es-ES"/>
        </w:rPr>
        <w:lastRenderedPageBreak/>
        <w:t xml:space="preserve">Javier </w:t>
      </w:r>
      <w:proofErr w:type="spellStart"/>
      <w:r w:rsidRPr="00525724">
        <w:rPr>
          <w:sz w:val="24"/>
          <w:szCs w:val="24"/>
          <w:lang w:val="es-ES"/>
        </w:rPr>
        <w:t>Esteinou</w:t>
      </w:r>
      <w:proofErr w:type="spellEnd"/>
      <w:r w:rsidRPr="00525724">
        <w:rPr>
          <w:sz w:val="24"/>
          <w:szCs w:val="24"/>
          <w:lang w:val="es-ES"/>
        </w:rPr>
        <w:t xml:space="preserve"> Madrid, en su ensayo “</w:t>
      </w:r>
      <w:r w:rsidRPr="00525724">
        <w:rPr>
          <w:rFonts w:eastAsia="Times New Roman"/>
          <w:bCs/>
          <w:sz w:val="24"/>
          <w:szCs w:val="24"/>
          <w:lang w:val="es-ES" w:eastAsia="es-ES"/>
        </w:rPr>
        <w:t>El impacto del pensamiento de Armand Mattelart en la academia de comunicación mexicana” (</w:t>
      </w:r>
      <w:proofErr w:type="spellStart"/>
      <w:r w:rsidRPr="00525724">
        <w:rPr>
          <w:rFonts w:eastAsia="Times New Roman"/>
          <w:bCs/>
          <w:sz w:val="24"/>
          <w:szCs w:val="24"/>
          <w:lang w:val="es-ES" w:eastAsia="es-ES"/>
        </w:rPr>
        <w:t>Esteinou</w:t>
      </w:r>
      <w:proofErr w:type="spellEnd"/>
      <w:r w:rsidRPr="00525724">
        <w:rPr>
          <w:rFonts w:eastAsia="Times New Roman"/>
          <w:bCs/>
          <w:sz w:val="24"/>
          <w:szCs w:val="24"/>
          <w:lang w:val="es-ES" w:eastAsia="es-ES"/>
        </w:rPr>
        <w:t xml:space="preserve"> Madrid, 2001), señala que: “</w:t>
      </w:r>
      <w:r w:rsidRPr="00251DDF">
        <w:rPr>
          <w:rStyle w:val="googqs-tidbit-0"/>
          <w:i/>
          <w:sz w:val="24"/>
          <w:szCs w:val="24"/>
          <w:lang w:val="es-ES"/>
        </w:rPr>
        <w:t>En la década de los años 60s. en un clima académico</w:t>
      </w:r>
      <w:r w:rsidRPr="00251DDF">
        <w:rPr>
          <w:i/>
          <w:sz w:val="24"/>
          <w:szCs w:val="24"/>
          <w:lang w:val="es-ES"/>
        </w:rPr>
        <w:t xml:space="preserve"> de reinado del pensamiento de la escuela funcionalista, especialmente del difusionismo norteamericano, llega Armand Mattelart a América Latina (...) Apoyado en una metodología marxista de interpretación de los fenómenos sociales, originó una nueva escuela de pensamiento crítico en la región que se convirtió en un eje epistemológico fundamental para analizar la comunicación latinoamericana durante varios años. Así, durante varias décadas emergieron diversas generaciones de jóvenes comunicadores que adoptaron su visión para comprender, trabajar y transformar de manera crítica los procesos de comunicación social en México y América Latina</w:t>
      </w:r>
      <w:r w:rsidRPr="00525724">
        <w:rPr>
          <w:sz w:val="24"/>
          <w:szCs w:val="24"/>
          <w:lang w:val="es-ES"/>
        </w:rPr>
        <w:t>”.</w:t>
      </w:r>
    </w:p>
    <w:p w14:paraId="27714729" w14:textId="77777777" w:rsidR="00B911AE" w:rsidRPr="00525724" w:rsidRDefault="00B911AE" w:rsidP="00B911AE">
      <w:pPr>
        <w:pStyle w:val="Senseespaiat"/>
        <w:spacing w:line="276" w:lineRule="auto"/>
        <w:jc w:val="both"/>
        <w:rPr>
          <w:sz w:val="24"/>
          <w:szCs w:val="24"/>
          <w:u w:val="single"/>
          <w:lang w:val="es-ES"/>
        </w:rPr>
      </w:pPr>
      <w:r w:rsidRPr="00525724">
        <w:rPr>
          <w:sz w:val="24"/>
          <w:szCs w:val="24"/>
          <w:u w:val="single"/>
          <w:lang w:val="es-ES"/>
        </w:rPr>
        <w:t>Sobre Mattelart en los ochenta</w:t>
      </w:r>
    </w:p>
    <w:p w14:paraId="3FC3C2D7" w14:textId="77777777" w:rsidR="00B911AE" w:rsidRDefault="00B911AE" w:rsidP="00B911AE">
      <w:pPr>
        <w:spacing w:after="120"/>
        <w:jc w:val="both"/>
        <w:rPr>
          <w:sz w:val="24"/>
          <w:szCs w:val="24"/>
          <w:lang w:val="es-ES"/>
        </w:rPr>
      </w:pPr>
      <w:r w:rsidRPr="00525724">
        <w:rPr>
          <w:sz w:val="24"/>
          <w:szCs w:val="24"/>
          <w:lang w:val="es-ES"/>
        </w:rPr>
        <w:t xml:space="preserve">Dos años después del golpe de estado de Pinochet, y del correspondiente exilio forzoso, Armand Mattelart regresa a Francia donde tardará hasta diez años en ser reconocido por la administración universitaria francesa. Entre 1981 y 1983 colabora con el gobierno socialista de François Mitterrand impulsando un nuevo enfoque en la política de “informatización de la sociedad” (Mattelart y </w:t>
      </w:r>
      <w:proofErr w:type="spellStart"/>
      <w:r w:rsidRPr="00525724">
        <w:rPr>
          <w:sz w:val="24"/>
          <w:szCs w:val="24"/>
          <w:lang w:val="es-ES"/>
        </w:rPr>
        <w:t>Stourdzé</w:t>
      </w:r>
      <w:proofErr w:type="spellEnd"/>
      <w:r w:rsidRPr="00525724">
        <w:rPr>
          <w:sz w:val="24"/>
          <w:szCs w:val="24"/>
          <w:lang w:val="es-ES"/>
        </w:rPr>
        <w:t>, 1984), más allá de los planteamientos iniciales del Informe Nora-</w:t>
      </w:r>
      <w:proofErr w:type="spellStart"/>
      <w:r w:rsidRPr="00525724">
        <w:rPr>
          <w:sz w:val="24"/>
          <w:szCs w:val="24"/>
          <w:lang w:val="es-ES"/>
        </w:rPr>
        <w:t>Minc</w:t>
      </w:r>
      <w:proofErr w:type="spellEnd"/>
      <w:r w:rsidRPr="00525724">
        <w:rPr>
          <w:sz w:val="24"/>
          <w:szCs w:val="24"/>
          <w:lang w:val="es-ES"/>
        </w:rPr>
        <w:t xml:space="preserve">, centrando ahora la atención en la democratización de la sociedad de la información, enfoque que pronto quedaría marginado de los debates en Francia y, más en general, en la Unión Europea, como se destaca en sus obras posteriores. </w:t>
      </w:r>
    </w:p>
    <w:p w14:paraId="54168EDE" w14:textId="77777777" w:rsidR="00B911AE" w:rsidRPr="00525724" w:rsidRDefault="00B911AE" w:rsidP="00B911AE">
      <w:pPr>
        <w:spacing w:after="120"/>
        <w:jc w:val="both"/>
        <w:rPr>
          <w:sz w:val="24"/>
          <w:szCs w:val="24"/>
          <w:lang w:val="es-ES"/>
        </w:rPr>
      </w:pPr>
      <w:r w:rsidRPr="00525724">
        <w:rPr>
          <w:sz w:val="24"/>
          <w:szCs w:val="24"/>
          <w:lang w:val="es-ES"/>
        </w:rPr>
        <w:t xml:space="preserve">La larga y dilatada obra de Armand Mattelart con Michel Mattelart ha ido respondiendo a los sucesivos cambios en la comunicación: </w:t>
      </w:r>
      <w:r w:rsidRPr="00525724">
        <w:rPr>
          <w:i/>
          <w:sz w:val="24"/>
          <w:szCs w:val="24"/>
          <w:lang w:val="es-ES"/>
        </w:rPr>
        <w:t>Los medios de comunicación en tiempo de crisis</w:t>
      </w:r>
      <w:r w:rsidRPr="00525724">
        <w:rPr>
          <w:sz w:val="24"/>
          <w:szCs w:val="24"/>
          <w:lang w:val="es-ES"/>
        </w:rPr>
        <w:t xml:space="preserve"> (Mattelart y Mattelart, 1980), </w:t>
      </w:r>
      <w:r w:rsidRPr="00525724">
        <w:rPr>
          <w:bCs/>
          <w:i/>
          <w:sz w:val="24"/>
          <w:szCs w:val="24"/>
          <w:lang w:val="es-ES"/>
        </w:rPr>
        <w:t>Pensar sobre los medios: comunicación y crítica social</w:t>
      </w:r>
      <w:r w:rsidRPr="00525724">
        <w:rPr>
          <w:sz w:val="24"/>
          <w:szCs w:val="24"/>
          <w:lang w:val="es-ES"/>
        </w:rPr>
        <w:t xml:space="preserve"> (Mattelart y Mattelart, 1987),</w:t>
      </w:r>
      <w:r w:rsidRPr="00525724">
        <w:rPr>
          <w:bCs/>
          <w:i/>
          <w:sz w:val="24"/>
          <w:szCs w:val="24"/>
          <w:lang w:val="es-ES"/>
        </w:rPr>
        <w:t xml:space="preserve"> Historia de las teorías de la comunicación</w:t>
      </w:r>
      <w:r w:rsidRPr="00525724">
        <w:rPr>
          <w:sz w:val="24"/>
          <w:szCs w:val="24"/>
          <w:lang w:val="es-ES"/>
        </w:rPr>
        <w:t xml:space="preserve"> (Mattelart y Mattelart, 1997).</w:t>
      </w:r>
    </w:p>
    <w:p w14:paraId="0073AF8C" w14:textId="77777777" w:rsidR="00B911AE" w:rsidRPr="00525724" w:rsidRDefault="00B911AE" w:rsidP="00B911AE">
      <w:pPr>
        <w:spacing w:after="120"/>
        <w:jc w:val="both"/>
        <w:rPr>
          <w:sz w:val="24"/>
          <w:szCs w:val="24"/>
          <w:lang w:val="es-ES"/>
        </w:rPr>
      </w:pPr>
      <w:r w:rsidRPr="00525724">
        <w:rPr>
          <w:sz w:val="24"/>
          <w:szCs w:val="24"/>
          <w:lang w:val="es-ES"/>
        </w:rPr>
        <w:t xml:space="preserve">Según Vincent Mosco, Mattelart, después de poner en primer plano la </w:t>
      </w:r>
      <w:r w:rsidRPr="00525724">
        <w:rPr>
          <w:iCs/>
          <w:sz w:val="24"/>
          <w:szCs w:val="24"/>
          <w:lang w:val="es-ES"/>
        </w:rPr>
        <w:t xml:space="preserve">lucha de clases, </w:t>
      </w:r>
      <w:r w:rsidRPr="00525724">
        <w:rPr>
          <w:sz w:val="24"/>
          <w:szCs w:val="24"/>
          <w:lang w:val="es-ES"/>
        </w:rPr>
        <w:t>“</w:t>
      </w:r>
      <w:r w:rsidRPr="00251DDF">
        <w:rPr>
          <w:i/>
          <w:sz w:val="24"/>
          <w:szCs w:val="24"/>
          <w:lang w:val="es-ES"/>
        </w:rPr>
        <w:t xml:space="preserve">ha recurrido a una variedad de tradiciones que incluyen la teoría de la dependencia, el marxismo occidental y la experiencia de los movimientos de liberación nacional, para entender la comunicación como uno de los recursos principales de </w:t>
      </w:r>
      <w:r w:rsidRPr="00251DDF">
        <w:rPr>
          <w:i/>
          <w:iCs/>
          <w:sz w:val="24"/>
          <w:szCs w:val="24"/>
          <w:lang w:val="es-ES"/>
        </w:rPr>
        <w:t xml:space="preserve">resistencia </w:t>
      </w:r>
      <w:r w:rsidRPr="00251DDF">
        <w:rPr>
          <w:i/>
          <w:sz w:val="24"/>
          <w:szCs w:val="24"/>
          <w:lang w:val="es-ES"/>
        </w:rPr>
        <w:t>al poder</w:t>
      </w:r>
      <w:r w:rsidRPr="00525724">
        <w:rPr>
          <w:sz w:val="24"/>
          <w:szCs w:val="24"/>
          <w:lang w:val="es-ES"/>
        </w:rPr>
        <w:t>” (Mosco, 2006: 63).</w:t>
      </w:r>
    </w:p>
    <w:p w14:paraId="7122399D" w14:textId="77777777" w:rsidR="00B911AE" w:rsidRPr="00525724" w:rsidRDefault="00B911AE" w:rsidP="00B911AE">
      <w:pPr>
        <w:spacing w:after="120"/>
        <w:jc w:val="both"/>
        <w:rPr>
          <w:sz w:val="24"/>
          <w:szCs w:val="24"/>
          <w:lang w:val="es-ES"/>
        </w:rPr>
      </w:pPr>
      <w:r w:rsidRPr="00525724">
        <w:rPr>
          <w:sz w:val="24"/>
          <w:szCs w:val="24"/>
          <w:lang w:val="es-ES"/>
        </w:rPr>
        <w:t xml:space="preserve">Interpreto que la obra de Mattelart está atravesada por algunas convicciones básicas que se mantienen y se desarrollan a lo largo de su dilatada experiencia investigadora: </w:t>
      </w:r>
    </w:p>
    <w:p w14:paraId="49093F3C" w14:textId="77777777" w:rsidR="00B911AE" w:rsidRPr="00525724" w:rsidRDefault="00B911AE" w:rsidP="00B911AE">
      <w:pPr>
        <w:pStyle w:val="Pargrafdellista"/>
        <w:numPr>
          <w:ilvl w:val="0"/>
          <w:numId w:val="1"/>
        </w:numPr>
        <w:spacing w:before="120" w:after="120"/>
        <w:ind w:left="284" w:hanging="284"/>
        <w:jc w:val="both"/>
        <w:rPr>
          <w:sz w:val="24"/>
          <w:szCs w:val="24"/>
          <w:lang w:val="es-ES"/>
        </w:rPr>
      </w:pPr>
      <w:r w:rsidRPr="00525724">
        <w:rPr>
          <w:sz w:val="24"/>
          <w:szCs w:val="24"/>
          <w:lang w:val="es-ES"/>
        </w:rPr>
        <w:t>La investigación de la comunicación, en cualquiera de sus distintas especialidades y enfoques, ya sea el análisis de contenido, los estudios de recepción, los estudios sobre estructura de los medios y economía política, los estudios sobre la cultura o sobre las tecnologías y su incidencia en la sociedad, deben centrar su atención en las condiciones que impone el poder a la apropiación y en el uso de los medios de comunicación.</w:t>
      </w:r>
    </w:p>
    <w:p w14:paraId="02CBC847" w14:textId="77777777" w:rsidR="00B911AE" w:rsidRPr="00525724" w:rsidRDefault="00B911AE" w:rsidP="00B911AE">
      <w:pPr>
        <w:pStyle w:val="Pargrafdellista"/>
        <w:numPr>
          <w:ilvl w:val="0"/>
          <w:numId w:val="1"/>
        </w:numPr>
        <w:spacing w:before="120" w:after="120"/>
        <w:ind w:left="284" w:hanging="284"/>
        <w:jc w:val="both"/>
        <w:rPr>
          <w:sz w:val="24"/>
          <w:szCs w:val="24"/>
          <w:lang w:val="es-ES"/>
        </w:rPr>
      </w:pPr>
      <w:r w:rsidRPr="00525724">
        <w:rPr>
          <w:sz w:val="24"/>
          <w:szCs w:val="24"/>
          <w:lang w:val="es-ES"/>
        </w:rPr>
        <w:t xml:space="preserve">No es posible ocuparse de la comunicación y de la cultura contemporáneas sin abordar las lógicas de la internacionalización o mundialización y, por consiguiente, sin abordar el papel de los Estados Unidos en estos procesos. </w:t>
      </w:r>
    </w:p>
    <w:p w14:paraId="5ECEF959" w14:textId="77777777" w:rsidR="00B911AE" w:rsidRPr="00525724" w:rsidRDefault="00B911AE" w:rsidP="00B911AE">
      <w:pPr>
        <w:pStyle w:val="Pargrafdellista"/>
        <w:numPr>
          <w:ilvl w:val="0"/>
          <w:numId w:val="1"/>
        </w:numPr>
        <w:spacing w:before="120" w:after="120"/>
        <w:ind w:left="284" w:hanging="284"/>
        <w:jc w:val="both"/>
        <w:rPr>
          <w:sz w:val="24"/>
          <w:szCs w:val="24"/>
          <w:lang w:val="es-ES"/>
        </w:rPr>
      </w:pPr>
      <w:r w:rsidRPr="00525724">
        <w:rPr>
          <w:sz w:val="24"/>
          <w:szCs w:val="24"/>
          <w:lang w:val="es-ES"/>
        </w:rPr>
        <w:lastRenderedPageBreak/>
        <w:t xml:space="preserve">El desarrollo de las tecnologías debe interpretarse en la lógica de la integración entre el complejo militar y el complejo comercial, entre los sistemas de defensa nacional y la industria de cada sociedad. </w:t>
      </w:r>
    </w:p>
    <w:p w14:paraId="4540B5F5" w14:textId="77777777" w:rsidR="00B911AE" w:rsidRPr="00525724" w:rsidRDefault="00B911AE" w:rsidP="00B911AE">
      <w:pPr>
        <w:pStyle w:val="Pargrafdellista"/>
        <w:numPr>
          <w:ilvl w:val="0"/>
          <w:numId w:val="1"/>
        </w:numPr>
        <w:spacing w:before="120" w:after="120"/>
        <w:ind w:left="284" w:hanging="284"/>
        <w:jc w:val="both"/>
        <w:rPr>
          <w:sz w:val="24"/>
          <w:szCs w:val="24"/>
          <w:lang w:val="es-ES"/>
        </w:rPr>
      </w:pPr>
      <w:r w:rsidRPr="00525724">
        <w:rPr>
          <w:sz w:val="24"/>
          <w:szCs w:val="24"/>
          <w:lang w:val="es-ES"/>
        </w:rPr>
        <w:t xml:space="preserve">La interpretación de la comunicación en la era actual debe abordarse desde la perspectiva histórica. Sus principales obras, más allá de la atención específica a los medios, dedican siempre una amplia atención a estos antecedentes. Así, por ejemplo, en </w:t>
      </w:r>
      <w:r w:rsidRPr="00525724">
        <w:rPr>
          <w:i/>
          <w:sz w:val="24"/>
          <w:szCs w:val="24"/>
          <w:lang w:val="es-ES"/>
        </w:rPr>
        <w:t>La invención de la comunicación</w:t>
      </w:r>
      <w:r w:rsidRPr="00525724">
        <w:rPr>
          <w:sz w:val="24"/>
          <w:szCs w:val="24"/>
          <w:lang w:val="es-ES"/>
        </w:rPr>
        <w:t xml:space="preserve"> (Mattelart, 1995) o en </w:t>
      </w:r>
      <w:r w:rsidRPr="00525724">
        <w:rPr>
          <w:i/>
          <w:sz w:val="24"/>
          <w:szCs w:val="24"/>
          <w:lang w:val="es-ES"/>
        </w:rPr>
        <w:t>Historia de la utopía planetaria</w:t>
      </w:r>
      <w:r w:rsidRPr="00525724">
        <w:rPr>
          <w:sz w:val="24"/>
          <w:szCs w:val="24"/>
          <w:lang w:val="es-ES"/>
        </w:rPr>
        <w:t xml:space="preserve"> (Mattelart, 2000) dedicados íntegramente a este propósito.</w:t>
      </w:r>
    </w:p>
    <w:p w14:paraId="5E9154B0" w14:textId="77777777" w:rsidR="00B911AE" w:rsidRPr="00525724" w:rsidRDefault="00B911AE" w:rsidP="00B911AE">
      <w:pPr>
        <w:pStyle w:val="Pargrafdellista"/>
        <w:numPr>
          <w:ilvl w:val="0"/>
          <w:numId w:val="1"/>
        </w:numPr>
        <w:spacing w:before="120" w:after="120"/>
        <w:ind w:left="284" w:hanging="284"/>
        <w:jc w:val="both"/>
        <w:rPr>
          <w:sz w:val="24"/>
          <w:szCs w:val="24"/>
          <w:lang w:val="es-ES"/>
        </w:rPr>
      </w:pPr>
      <w:r w:rsidRPr="00525724">
        <w:rPr>
          <w:sz w:val="24"/>
          <w:szCs w:val="24"/>
          <w:lang w:val="es-ES"/>
        </w:rPr>
        <w:t>La tarea intelectual debe comprometerse con una tarea de desenmascaramiento de la utilización interesada de los conceptos. Esto se ha hecho aún más importante ante la generalización de conceptos como “globalización” y “sociedad de la información” que traspasan la lógica economicista y mercantil al conjunto de la sociedad y la cultura.</w:t>
      </w:r>
    </w:p>
    <w:p w14:paraId="086AD83B" w14:textId="77777777" w:rsidR="00B911AE" w:rsidRPr="00525724" w:rsidRDefault="00B911AE" w:rsidP="00B911AE">
      <w:pPr>
        <w:spacing w:after="120"/>
        <w:jc w:val="both"/>
        <w:rPr>
          <w:color w:val="000000" w:themeColor="text1"/>
          <w:sz w:val="24"/>
          <w:szCs w:val="24"/>
          <w:lang w:val="es-ES"/>
        </w:rPr>
      </w:pPr>
      <w:r w:rsidRPr="00525724">
        <w:rPr>
          <w:sz w:val="24"/>
          <w:szCs w:val="24"/>
          <w:lang w:val="es-ES"/>
        </w:rPr>
        <w:t xml:space="preserve">Uno de los principales ejes de la obra de Mattelart es su constante preocupación por la dimensión mundial de los procesos de comunicación, desde unos primeros planteamientos sobre las lógicas del imperialismo cultural hasta una reflexión más compleja sobre las articulaciones entre el poder mundial (con el liderazgo de los Estados Unidos) y los agentes locales. Es en este sentido que podemos relacionar la obra de Mattelart con la economía política de la comunicación, más en la línea de algunos de sus pioneros como Herbert Schiller, autor de </w:t>
      </w:r>
      <w:proofErr w:type="spellStart"/>
      <w:r w:rsidRPr="00525724">
        <w:rPr>
          <w:i/>
          <w:sz w:val="24"/>
          <w:szCs w:val="24"/>
          <w:lang w:val="es-ES"/>
        </w:rPr>
        <w:t>Mass</w:t>
      </w:r>
      <w:proofErr w:type="spellEnd"/>
      <w:r w:rsidRPr="00525724">
        <w:rPr>
          <w:i/>
          <w:sz w:val="24"/>
          <w:szCs w:val="24"/>
          <w:lang w:val="es-ES"/>
        </w:rPr>
        <w:t xml:space="preserve"> </w:t>
      </w:r>
      <w:proofErr w:type="spellStart"/>
      <w:r w:rsidRPr="00525724">
        <w:rPr>
          <w:i/>
          <w:sz w:val="24"/>
          <w:szCs w:val="24"/>
          <w:lang w:val="es-ES"/>
        </w:rPr>
        <w:t>communications</w:t>
      </w:r>
      <w:proofErr w:type="spellEnd"/>
      <w:r w:rsidRPr="00525724">
        <w:rPr>
          <w:i/>
          <w:sz w:val="24"/>
          <w:szCs w:val="24"/>
          <w:lang w:val="es-ES"/>
        </w:rPr>
        <w:t xml:space="preserve"> and </w:t>
      </w:r>
      <w:proofErr w:type="spellStart"/>
      <w:r w:rsidRPr="00525724">
        <w:rPr>
          <w:i/>
          <w:sz w:val="24"/>
          <w:szCs w:val="24"/>
          <w:lang w:val="es-ES"/>
        </w:rPr>
        <w:t>american</w:t>
      </w:r>
      <w:proofErr w:type="spellEnd"/>
      <w:r w:rsidRPr="00525724">
        <w:rPr>
          <w:i/>
          <w:sz w:val="24"/>
          <w:szCs w:val="24"/>
          <w:lang w:val="es-ES"/>
        </w:rPr>
        <w:t xml:space="preserve"> </w:t>
      </w:r>
      <w:proofErr w:type="spellStart"/>
      <w:r w:rsidRPr="00525724">
        <w:rPr>
          <w:i/>
          <w:sz w:val="24"/>
          <w:szCs w:val="24"/>
          <w:lang w:val="es-ES"/>
        </w:rPr>
        <w:t>empire</w:t>
      </w:r>
      <w:proofErr w:type="spellEnd"/>
      <w:r w:rsidRPr="00525724">
        <w:rPr>
          <w:i/>
          <w:sz w:val="24"/>
          <w:szCs w:val="24"/>
          <w:lang w:val="es-ES"/>
        </w:rPr>
        <w:t xml:space="preserve"> </w:t>
      </w:r>
      <w:r w:rsidRPr="00525724">
        <w:rPr>
          <w:sz w:val="24"/>
          <w:szCs w:val="24"/>
          <w:lang w:val="es-ES"/>
        </w:rPr>
        <w:t xml:space="preserve">(Schiller, 1976/1969) y Jeremy Tunstall, autor de </w:t>
      </w:r>
      <w:r w:rsidRPr="00525724">
        <w:rPr>
          <w:i/>
          <w:sz w:val="24"/>
          <w:szCs w:val="24"/>
          <w:lang w:val="es-ES"/>
        </w:rPr>
        <w:t xml:space="preserve">The media are American: Anglo-American media in </w:t>
      </w:r>
      <w:proofErr w:type="spellStart"/>
      <w:r w:rsidRPr="00525724">
        <w:rPr>
          <w:i/>
          <w:sz w:val="24"/>
          <w:szCs w:val="24"/>
          <w:lang w:val="es-ES"/>
        </w:rPr>
        <w:t>the</w:t>
      </w:r>
      <w:proofErr w:type="spellEnd"/>
      <w:r w:rsidRPr="00525724">
        <w:rPr>
          <w:i/>
          <w:sz w:val="24"/>
          <w:szCs w:val="24"/>
          <w:lang w:val="es-ES"/>
        </w:rPr>
        <w:t xml:space="preserve"> </w:t>
      </w:r>
      <w:proofErr w:type="spellStart"/>
      <w:r w:rsidRPr="00525724">
        <w:rPr>
          <w:i/>
          <w:sz w:val="24"/>
          <w:szCs w:val="24"/>
          <w:lang w:val="es-ES"/>
        </w:rPr>
        <w:t>world</w:t>
      </w:r>
      <w:proofErr w:type="spellEnd"/>
      <w:r w:rsidRPr="00525724">
        <w:rPr>
          <w:color w:val="000000" w:themeColor="text1"/>
          <w:sz w:val="24"/>
          <w:szCs w:val="24"/>
          <w:lang w:val="es-ES"/>
        </w:rPr>
        <w:t xml:space="preserve"> (</w:t>
      </w:r>
      <w:proofErr w:type="spellStart"/>
      <w:r w:rsidRPr="00525724">
        <w:rPr>
          <w:color w:val="000000" w:themeColor="text1"/>
          <w:sz w:val="24"/>
          <w:szCs w:val="24"/>
          <w:lang w:val="es-ES"/>
        </w:rPr>
        <w:t>Tustall</w:t>
      </w:r>
      <w:proofErr w:type="spellEnd"/>
      <w:r w:rsidRPr="00525724">
        <w:rPr>
          <w:color w:val="000000" w:themeColor="text1"/>
          <w:sz w:val="24"/>
          <w:szCs w:val="24"/>
          <w:lang w:val="es-ES"/>
        </w:rPr>
        <w:t xml:space="preserve">, 1977), que en relación con otros autores que analizan los sistemas de la industria cultural y de comunicación, como Bernard </w:t>
      </w:r>
      <w:proofErr w:type="spellStart"/>
      <w:r w:rsidRPr="00525724">
        <w:rPr>
          <w:color w:val="000000" w:themeColor="text1"/>
          <w:sz w:val="24"/>
          <w:szCs w:val="24"/>
          <w:lang w:val="es-ES"/>
        </w:rPr>
        <w:t>Miège</w:t>
      </w:r>
      <w:proofErr w:type="spellEnd"/>
      <w:r w:rsidRPr="00525724">
        <w:rPr>
          <w:color w:val="000000" w:themeColor="text1"/>
          <w:sz w:val="24"/>
          <w:szCs w:val="24"/>
          <w:lang w:val="es-ES"/>
        </w:rPr>
        <w:t xml:space="preserve">, Patrice </w:t>
      </w:r>
      <w:proofErr w:type="spellStart"/>
      <w:r w:rsidRPr="00525724">
        <w:rPr>
          <w:color w:val="000000" w:themeColor="text1"/>
          <w:sz w:val="24"/>
          <w:szCs w:val="24"/>
          <w:lang w:val="es-ES"/>
        </w:rPr>
        <w:t>Flichy</w:t>
      </w:r>
      <w:proofErr w:type="spellEnd"/>
      <w:r w:rsidRPr="00525724">
        <w:rPr>
          <w:color w:val="000000" w:themeColor="text1"/>
          <w:sz w:val="24"/>
          <w:szCs w:val="24"/>
          <w:lang w:val="es-ES"/>
        </w:rPr>
        <w:t xml:space="preserve"> o Giuseppe Richeri.</w:t>
      </w:r>
    </w:p>
    <w:p w14:paraId="05F5FF51" w14:textId="77777777" w:rsidR="00B911AE" w:rsidRPr="00525724" w:rsidRDefault="00B911AE" w:rsidP="00B911AE">
      <w:pPr>
        <w:spacing w:after="120"/>
        <w:jc w:val="both"/>
        <w:rPr>
          <w:sz w:val="24"/>
          <w:szCs w:val="24"/>
          <w:u w:val="single"/>
          <w:lang w:val="es-ES"/>
        </w:rPr>
      </w:pPr>
      <w:r w:rsidRPr="00525724">
        <w:rPr>
          <w:sz w:val="24"/>
          <w:szCs w:val="24"/>
          <w:lang w:val="es-ES"/>
        </w:rPr>
        <w:t xml:space="preserve">La mundialización de la comunicación es el objeto de sus principales obras en los años 90: </w:t>
      </w:r>
      <w:r w:rsidRPr="00525724">
        <w:rPr>
          <w:bCs/>
          <w:i/>
          <w:sz w:val="24"/>
          <w:szCs w:val="24"/>
          <w:lang w:val="es-ES"/>
        </w:rPr>
        <w:t>La Comunicación-mundo: historia de las ideas y de las estrategias</w:t>
      </w:r>
      <w:r w:rsidRPr="00525724">
        <w:rPr>
          <w:sz w:val="24"/>
          <w:szCs w:val="24"/>
          <w:lang w:val="es-ES"/>
        </w:rPr>
        <w:t xml:space="preserve"> (Mattelart, 1993), </w:t>
      </w:r>
      <w:r w:rsidRPr="00525724">
        <w:rPr>
          <w:bCs/>
          <w:i/>
          <w:sz w:val="24"/>
          <w:szCs w:val="24"/>
          <w:lang w:val="es-ES"/>
        </w:rPr>
        <w:t>La Mundialización de la comunicación</w:t>
      </w:r>
      <w:r w:rsidRPr="00525724">
        <w:rPr>
          <w:sz w:val="24"/>
          <w:szCs w:val="24"/>
          <w:lang w:val="es-ES"/>
        </w:rPr>
        <w:t xml:space="preserve">, (Mattelart, 1998), </w:t>
      </w:r>
      <w:r w:rsidRPr="00525724">
        <w:rPr>
          <w:i/>
          <w:sz w:val="24"/>
          <w:szCs w:val="24"/>
          <w:lang w:val="es-ES"/>
        </w:rPr>
        <w:t>Historia de la utopía planetaria</w:t>
      </w:r>
      <w:r w:rsidRPr="00525724">
        <w:rPr>
          <w:sz w:val="24"/>
          <w:szCs w:val="24"/>
          <w:lang w:val="es-ES"/>
        </w:rPr>
        <w:t xml:space="preserve"> (Mattelart, 2000).</w:t>
      </w:r>
    </w:p>
    <w:p w14:paraId="49507C86" w14:textId="77777777" w:rsidR="00B911AE" w:rsidRPr="00525724" w:rsidRDefault="00B911AE" w:rsidP="00B911AE">
      <w:pPr>
        <w:pStyle w:val="Senseespaiat"/>
        <w:spacing w:after="120" w:line="276" w:lineRule="auto"/>
        <w:jc w:val="both"/>
        <w:rPr>
          <w:sz w:val="24"/>
          <w:szCs w:val="24"/>
          <w:lang w:val="es-ES"/>
        </w:rPr>
      </w:pPr>
      <w:r w:rsidRPr="00F11386">
        <w:rPr>
          <w:rFonts w:eastAsia="Times New Roman"/>
          <w:sz w:val="24"/>
          <w:szCs w:val="24"/>
          <w:lang w:val="es-ES"/>
        </w:rPr>
        <w:t>El objeto ya no es tanto la comunicación internacional como la internacionalización que afecta a todos los procesos de la comunicación. Se revisan los</w:t>
      </w:r>
      <w:r w:rsidRPr="00F11386">
        <w:rPr>
          <w:sz w:val="24"/>
          <w:szCs w:val="24"/>
          <w:lang w:val="es-ES"/>
        </w:rPr>
        <w:t xml:space="preserve"> conceptos de imperialismo y dependencia cultural, observando los nuevos cruces e influencias de la compleja articulación local-global, o los diferentes modelos de estado-nación existentes en el mundo. Se critica, sin embargo, </w:t>
      </w:r>
      <w:r>
        <w:rPr>
          <w:sz w:val="24"/>
          <w:szCs w:val="24"/>
          <w:lang w:val="es-ES"/>
        </w:rPr>
        <w:t>la suposición de la teoría post</w:t>
      </w:r>
      <w:r w:rsidRPr="00F11386">
        <w:rPr>
          <w:sz w:val="24"/>
          <w:szCs w:val="24"/>
          <w:lang w:val="es-ES"/>
        </w:rPr>
        <w:t>moderna respecto de la descomposición del estado-nación: “</w:t>
      </w:r>
      <w:r w:rsidRPr="00F11386">
        <w:rPr>
          <w:i/>
          <w:sz w:val="24"/>
          <w:szCs w:val="24"/>
          <w:lang w:val="es-ES"/>
        </w:rPr>
        <w:t>El estado –</w:t>
      </w:r>
      <w:r w:rsidRPr="00525724">
        <w:rPr>
          <w:i/>
          <w:sz w:val="24"/>
          <w:szCs w:val="24"/>
          <w:lang w:val="es-ES"/>
        </w:rPr>
        <w:t>nación también es el instrumento del poder. No hay firma global “apátrida”, es decir, que no se aproveche de la logística institucional del territorio del que es originaria. Cine, informática, armamentos, algodón, acero, agricultura medioambiente; en todos estos sectores el proteccionismo desmiente la retórica del librecambismo sobre la disminución del Estado</w:t>
      </w:r>
      <w:r w:rsidRPr="00525724">
        <w:rPr>
          <w:sz w:val="24"/>
          <w:szCs w:val="24"/>
          <w:lang w:val="es-ES"/>
        </w:rPr>
        <w:t>” (Mattelart, 2006a: 115).</w:t>
      </w:r>
    </w:p>
    <w:p w14:paraId="2FC60011" w14:textId="77777777" w:rsidR="00B911AE" w:rsidRPr="00525724" w:rsidRDefault="00B911AE" w:rsidP="00B911AE">
      <w:pPr>
        <w:spacing w:after="120"/>
        <w:jc w:val="both"/>
        <w:rPr>
          <w:sz w:val="24"/>
          <w:szCs w:val="24"/>
          <w:lang w:val="es-ES"/>
        </w:rPr>
      </w:pPr>
      <w:r w:rsidRPr="00525724">
        <w:rPr>
          <w:sz w:val="24"/>
          <w:szCs w:val="24"/>
          <w:lang w:val="es-ES"/>
        </w:rPr>
        <w:t xml:space="preserve">Desde el punto de vista de la diversidad temática también podemos diferenciar sus obras dedicadas a la “comunicación-mundo” y sus obras dedicadas a la investigación y a los estudios en comunicación, temática omnipresente en todas sus obras, pero específicamente en obras como </w:t>
      </w:r>
      <w:r w:rsidRPr="00525724">
        <w:rPr>
          <w:bCs/>
          <w:i/>
          <w:sz w:val="24"/>
          <w:szCs w:val="24"/>
          <w:lang w:val="es-ES"/>
        </w:rPr>
        <w:t>Historia de las teorías de la comunicación</w:t>
      </w:r>
      <w:r w:rsidRPr="00525724">
        <w:rPr>
          <w:sz w:val="24"/>
          <w:szCs w:val="24"/>
          <w:lang w:val="es-ES"/>
        </w:rPr>
        <w:t xml:space="preserve"> (Armand y </w:t>
      </w:r>
      <w:proofErr w:type="spellStart"/>
      <w:r w:rsidRPr="00525724">
        <w:rPr>
          <w:sz w:val="24"/>
          <w:szCs w:val="24"/>
          <w:lang w:val="es-ES"/>
        </w:rPr>
        <w:lastRenderedPageBreak/>
        <w:t>Michèle</w:t>
      </w:r>
      <w:proofErr w:type="spellEnd"/>
      <w:r w:rsidRPr="00525724">
        <w:rPr>
          <w:sz w:val="24"/>
          <w:szCs w:val="24"/>
          <w:lang w:val="es-ES"/>
        </w:rPr>
        <w:t xml:space="preserve"> Mattelart, 1977), </w:t>
      </w:r>
      <w:r w:rsidRPr="00525724">
        <w:rPr>
          <w:bCs/>
          <w:i/>
          <w:sz w:val="24"/>
          <w:szCs w:val="24"/>
          <w:lang w:val="es-ES"/>
        </w:rPr>
        <w:t>Introducción a los estudios culturales</w:t>
      </w:r>
      <w:r w:rsidRPr="00525724">
        <w:rPr>
          <w:sz w:val="24"/>
          <w:szCs w:val="24"/>
          <w:lang w:val="es-ES"/>
        </w:rPr>
        <w:t xml:space="preserve"> (Mattelart y </w:t>
      </w:r>
      <w:proofErr w:type="spellStart"/>
      <w:r w:rsidRPr="00525724">
        <w:rPr>
          <w:sz w:val="24"/>
          <w:szCs w:val="24"/>
          <w:lang w:val="es-ES"/>
        </w:rPr>
        <w:t>Neveu</w:t>
      </w:r>
      <w:proofErr w:type="spellEnd"/>
      <w:r w:rsidRPr="00525724">
        <w:rPr>
          <w:sz w:val="24"/>
          <w:szCs w:val="24"/>
          <w:lang w:val="es-ES"/>
        </w:rPr>
        <w:t xml:space="preserve">, 2004) o </w:t>
      </w:r>
      <w:r w:rsidRPr="00525724">
        <w:rPr>
          <w:bCs/>
          <w:i/>
          <w:sz w:val="24"/>
          <w:szCs w:val="24"/>
          <w:lang w:val="es-ES"/>
        </w:rPr>
        <w:t xml:space="preserve">Historia de la sociedad de la información </w:t>
      </w:r>
      <w:r w:rsidRPr="00525724">
        <w:rPr>
          <w:bCs/>
          <w:sz w:val="24"/>
          <w:szCs w:val="24"/>
          <w:lang w:val="es-ES"/>
        </w:rPr>
        <w:t>(M</w:t>
      </w:r>
      <w:r w:rsidRPr="00525724">
        <w:rPr>
          <w:sz w:val="24"/>
          <w:szCs w:val="24"/>
          <w:lang w:val="es-ES"/>
        </w:rPr>
        <w:t xml:space="preserve">attelart, 1997). </w:t>
      </w:r>
    </w:p>
    <w:p w14:paraId="59FD486B" w14:textId="77777777" w:rsidR="00B911AE" w:rsidRPr="00525724" w:rsidRDefault="00B911AE" w:rsidP="00B911AE">
      <w:pPr>
        <w:spacing w:after="0"/>
        <w:jc w:val="both"/>
        <w:rPr>
          <w:sz w:val="24"/>
          <w:szCs w:val="24"/>
          <w:u w:val="single"/>
          <w:lang w:val="es-ES"/>
        </w:rPr>
      </w:pPr>
      <w:r w:rsidRPr="00525724">
        <w:rPr>
          <w:sz w:val="24"/>
          <w:szCs w:val="24"/>
          <w:u w:val="single"/>
          <w:lang w:val="es-ES"/>
        </w:rPr>
        <w:t>Visión alternativa de la globalización</w:t>
      </w:r>
    </w:p>
    <w:p w14:paraId="64D00C35" w14:textId="77777777" w:rsidR="00B911AE" w:rsidRPr="00525724" w:rsidRDefault="00B911AE" w:rsidP="00B911AE">
      <w:pPr>
        <w:spacing w:after="120"/>
        <w:jc w:val="both"/>
        <w:rPr>
          <w:sz w:val="24"/>
          <w:szCs w:val="24"/>
          <w:lang w:val="es-ES"/>
        </w:rPr>
      </w:pPr>
      <w:r w:rsidRPr="00525724">
        <w:rPr>
          <w:sz w:val="24"/>
          <w:szCs w:val="24"/>
          <w:lang w:val="es-ES"/>
        </w:rPr>
        <w:t>Una de las principales aportaciones de Mattelart al estudio de la comunicación en nuestros días, en el contexto de las nuevas teorías sobre la sociedad de la información que dominan la agenda de la actividad académica, es su cuestionamiento de las ideas comunes sobre globalización y sociedad de la información, o más específicamente, su crítica a la pertinencia de denominar a la sociedad de nuestro tiempo con estos conceptos.</w:t>
      </w:r>
    </w:p>
    <w:p w14:paraId="1C713734" w14:textId="7A729630" w:rsidR="00B911AE" w:rsidRPr="00525724" w:rsidRDefault="00B911AE" w:rsidP="00B911AE">
      <w:pPr>
        <w:spacing w:after="120"/>
        <w:jc w:val="both"/>
        <w:rPr>
          <w:sz w:val="24"/>
          <w:szCs w:val="24"/>
          <w:lang w:val="es-ES"/>
        </w:rPr>
      </w:pPr>
      <w:r w:rsidRPr="00525724">
        <w:rPr>
          <w:sz w:val="24"/>
          <w:szCs w:val="24"/>
          <w:lang w:val="es-ES"/>
        </w:rPr>
        <w:t>Mattelart cuestiona el significado y al uso social del término globalización que considera reflejo de un pensamiento único que disimula los des</w:t>
      </w:r>
      <w:r w:rsidR="0007620E">
        <w:rPr>
          <w:sz w:val="24"/>
          <w:szCs w:val="24"/>
          <w:lang w:val="es-ES"/>
        </w:rPr>
        <w:t>ó</w:t>
      </w:r>
      <w:r w:rsidRPr="00525724">
        <w:rPr>
          <w:sz w:val="24"/>
          <w:szCs w:val="24"/>
          <w:lang w:val="es-ES"/>
        </w:rPr>
        <w:t>rdenes del nuevo orden mundial. Recordando a Albert Camus nos indica que nombrar mal las cosas representa aumentar las desgracias del mundo (Mattelart, 1998: 99): “</w:t>
      </w:r>
      <w:r w:rsidRPr="00525724">
        <w:rPr>
          <w:i/>
          <w:sz w:val="24"/>
          <w:szCs w:val="24"/>
          <w:lang w:val="es-ES"/>
        </w:rPr>
        <w:t>Hay que tener cuidado con el vocabulario (…) sigo pensando que la uniformidad del mundo empieza por la normalización de la lengua que se trivializa, que se limpia de asperezas separando las palabras de su memoria o bien mediante la multiplicación de lo que llamo neologismos pantallas</w:t>
      </w:r>
      <w:r w:rsidRPr="00525724">
        <w:rPr>
          <w:sz w:val="24"/>
          <w:szCs w:val="24"/>
          <w:lang w:val="es-ES"/>
        </w:rPr>
        <w:t xml:space="preserve">” (Mattelart, 2006b). </w:t>
      </w:r>
    </w:p>
    <w:p w14:paraId="3E5F9996" w14:textId="77777777" w:rsidR="00B911AE" w:rsidRPr="00525724" w:rsidRDefault="00B911AE" w:rsidP="00B911AE">
      <w:pPr>
        <w:spacing w:after="120"/>
        <w:jc w:val="both"/>
        <w:rPr>
          <w:sz w:val="24"/>
          <w:szCs w:val="24"/>
          <w:lang w:val="es-ES"/>
        </w:rPr>
      </w:pPr>
      <w:r w:rsidRPr="00525724">
        <w:rPr>
          <w:sz w:val="24"/>
          <w:szCs w:val="24"/>
          <w:lang w:val="es-ES"/>
        </w:rPr>
        <w:t>El término globalización, a diferencia de mundialización que indica mejor la dimensión geográfica del proceso, se refiere a una filosofía holística (referida a una totalidad sistémica), esto es, a la idea de una unidad totalizadora que se corresponde muy bien con el mercado y con la consiguiente integración del diseño, la producción y la comercialización de sus bienes (Mattelart, 1998: 82), pero que no se corresponde con la complejidad de la sociedad y sus culturas. La globalización del mercado, la creación de un campo económico unificado también señala la fractura entre sistemas sociales específicos y de las culturas particulares con las fuerzas centralizadoras de la cultura global (Mattelart, 1998: 99).</w:t>
      </w:r>
    </w:p>
    <w:p w14:paraId="7493E535" w14:textId="77777777" w:rsidR="00B911AE" w:rsidRPr="00525724" w:rsidRDefault="00B911AE" w:rsidP="00B911AE">
      <w:pPr>
        <w:spacing w:after="120"/>
        <w:jc w:val="both"/>
        <w:rPr>
          <w:sz w:val="24"/>
          <w:szCs w:val="24"/>
          <w:lang w:val="es-ES"/>
        </w:rPr>
      </w:pPr>
      <w:r w:rsidRPr="00525724">
        <w:rPr>
          <w:sz w:val="24"/>
          <w:szCs w:val="24"/>
          <w:lang w:val="es-ES"/>
        </w:rPr>
        <w:t>“</w:t>
      </w:r>
      <w:proofErr w:type="spellStart"/>
      <w:r w:rsidRPr="00525724">
        <w:rPr>
          <w:i/>
          <w:sz w:val="24"/>
          <w:szCs w:val="24"/>
          <w:lang w:val="es-ES"/>
        </w:rPr>
        <w:t>Estrictu</w:t>
      </w:r>
      <w:proofErr w:type="spellEnd"/>
      <w:r w:rsidRPr="00525724">
        <w:rPr>
          <w:i/>
          <w:sz w:val="24"/>
          <w:szCs w:val="24"/>
          <w:lang w:val="es-ES"/>
        </w:rPr>
        <w:t xml:space="preserve"> sensu, la globalización denomina el proyecto de construcción de un espacio homogéneo de valorización, de unificación, de las normas de competitividad y de rentabilidad a escala planetaria. Debería limitarse a significar el proyecto de capitalismo mundial integrado. Pero la terminología transgrede las fronteras de la geoeconómica y las </w:t>
      </w:r>
      <w:proofErr w:type="spellStart"/>
      <w:r w:rsidRPr="00525724">
        <w:rPr>
          <w:i/>
          <w:sz w:val="24"/>
          <w:szCs w:val="24"/>
          <w:lang w:val="es-ES"/>
        </w:rPr>
        <w:t>geofinanzas</w:t>
      </w:r>
      <w:proofErr w:type="spellEnd"/>
      <w:r w:rsidRPr="00525724">
        <w:rPr>
          <w:i/>
          <w:sz w:val="24"/>
          <w:szCs w:val="24"/>
          <w:lang w:val="es-ES"/>
        </w:rPr>
        <w:t xml:space="preserve"> para irradiarse hacia la sociedad (…) El léxico de la economía global se transforma en vector de uniformización de las formas de decir y de leer el destino del mundo</w:t>
      </w:r>
      <w:r w:rsidRPr="00525724">
        <w:rPr>
          <w:sz w:val="24"/>
          <w:szCs w:val="24"/>
          <w:lang w:val="es-ES"/>
        </w:rPr>
        <w:t>” (Mattelart, 2006a: 96).</w:t>
      </w:r>
    </w:p>
    <w:p w14:paraId="68CD1AA9" w14:textId="77777777" w:rsidR="00B911AE" w:rsidRPr="00525724" w:rsidRDefault="00B911AE" w:rsidP="00B911AE">
      <w:pPr>
        <w:spacing w:after="120"/>
        <w:jc w:val="both"/>
        <w:rPr>
          <w:sz w:val="24"/>
          <w:szCs w:val="24"/>
          <w:lang w:val="es-ES"/>
        </w:rPr>
      </w:pPr>
      <w:r w:rsidRPr="00525724">
        <w:rPr>
          <w:sz w:val="24"/>
          <w:szCs w:val="24"/>
          <w:lang w:val="es-ES"/>
        </w:rPr>
        <w:t>El lenguaje “</w:t>
      </w:r>
      <w:proofErr w:type="spellStart"/>
      <w:r w:rsidRPr="00525724">
        <w:rPr>
          <w:sz w:val="24"/>
          <w:szCs w:val="24"/>
          <w:lang w:val="es-ES"/>
        </w:rPr>
        <w:t>globalitario</w:t>
      </w:r>
      <w:proofErr w:type="spellEnd"/>
      <w:r w:rsidRPr="00525724">
        <w:rPr>
          <w:sz w:val="24"/>
          <w:szCs w:val="24"/>
          <w:lang w:val="es-ES"/>
        </w:rPr>
        <w:t>” se corresponde con el lenguaje económico-gerencial, nacido en las redes financieras y en las redes de las agencias publicitarias, de aquí su preferencia por conceptos como "comunicación-mundo":</w:t>
      </w:r>
      <w:r w:rsidRPr="00525724">
        <w:rPr>
          <w:i/>
          <w:sz w:val="24"/>
          <w:szCs w:val="24"/>
          <w:lang w:val="es-ES"/>
        </w:rPr>
        <w:t xml:space="preserve"> ¿Por qué hablé de "comunicación-mundo"? (…) pues encontraba que uno de los problemas mayores de lo que se quería hacernos aceptar como concepto natural, el concepto de </w:t>
      </w:r>
      <w:proofErr w:type="gramStart"/>
      <w:r w:rsidRPr="00525724">
        <w:rPr>
          <w:i/>
          <w:sz w:val="24"/>
          <w:szCs w:val="24"/>
          <w:lang w:val="es-ES"/>
        </w:rPr>
        <w:t>globalización,</w:t>
      </w:r>
      <w:proofErr w:type="gramEnd"/>
      <w:r w:rsidRPr="00525724">
        <w:rPr>
          <w:i/>
          <w:sz w:val="24"/>
          <w:szCs w:val="24"/>
          <w:lang w:val="es-ES"/>
        </w:rPr>
        <w:t xml:space="preserve"> era un concepto sin historia, sin memoria. Se nos quería hacer entender que entrábamos en una época que no tenía nada que ver con los procesos contradictorios de integración mundial que empezaron desde el descubrimiento. Es allí donde empieza el concepto primero occidental de integración mundial. Al elegir este nombre quería reivindicar el proceso de </w:t>
      </w:r>
      <w:proofErr w:type="gramStart"/>
      <w:r w:rsidRPr="00525724">
        <w:rPr>
          <w:i/>
          <w:sz w:val="24"/>
          <w:szCs w:val="24"/>
          <w:lang w:val="es-ES"/>
        </w:rPr>
        <w:t>globalización</w:t>
      </w:r>
      <w:proofErr w:type="gramEnd"/>
      <w:r w:rsidRPr="00525724">
        <w:rPr>
          <w:i/>
          <w:sz w:val="24"/>
          <w:szCs w:val="24"/>
          <w:lang w:val="es-ES"/>
        </w:rPr>
        <w:t xml:space="preserve"> pero dentro de la historia”</w:t>
      </w:r>
      <w:r w:rsidRPr="00525724">
        <w:rPr>
          <w:sz w:val="24"/>
          <w:szCs w:val="24"/>
          <w:lang w:val="es-ES"/>
        </w:rPr>
        <w:t xml:space="preserve"> (Mattelart, 2006b).</w:t>
      </w:r>
    </w:p>
    <w:p w14:paraId="1F84C1B4" w14:textId="77777777" w:rsidR="00B911AE" w:rsidRPr="00525724" w:rsidRDefault="00B911AE" w:rsidP="00B911AE">
      <w:pPr>
        <w:pStyle w:val="Senseespaiat"/>
        <w:spacing w:line="276" w:lineRule="auto"/>
        <w:jc w:val="both"/>
        <w:rPr>
          <w:rFonts w:eastAsia="Times New Roman"/>
          <w:sz w:val="24"/>
          <w:szCs w:val="24"/>
          <w:u w:val="single"/>
          <w:lang w:val="es-ES"/>
        </w:rPr>
      </w:pPr>
      <w:r w:rsidRPr="00525724">
        <w:rPr>
          <w:rFonts w:eastAsia="Times New Roman"/>
          <w:sz w:val="24"/>
          <w:szCs w:val="24"/>
          <w:u w:val="single"/>
          <w:lang w:val="es-ES"/>
        </w:rPr>
        <w:lastRenderedPageBreak/>
        <w:t>Y el fin de las ideologías</w:t>
      </w:r>
    </w:p>
    <w:p w14:paraId="4307D6FB" w14:textId="77777777" w:rsidR="00B911AE" w:rsidRPr="00525724" w:rsidRDefault="00B911AE" w:rsidP="00B911AE">
      <w:pPr>
        <w:spacing w:after="120"/>
        <w:jc w:val="both"/>
        <w:rPr>
          <w:sz w:val="24"/>
          <w:szCs w:val="24"/>
          <w:lang w:val="es-ES"/>
        </w:rPr>
      </w:pPr>
      <w:r w:rsidRPr="00525724">
        <w:rPr>
          <w:sz w:val="24"/>
          <w:szCs w:val="24"/>
          <w:lang w:val="es-ES"/>
        </w:rPr>
        <w:t>También se critica a la teoría integrada sobre la sociedad postindustrial de Daniel Bell (1976), una teoría que es contemporánea de la teoría del fin de las ideologías, a la que el propio Bell había contribuido con su libro</w:t>
      </w:r>
      <w:r w:rsidRPr="00525724">
        <w:rPr>
          <w:i/>
          <w:sz w:val="24"/>
          <w:szCs w:val="24"/>
          <w:lang w:val="es-ES"/>
        </w:rPr>
        <w:t xml:space="preserve"> “El fin de la ideología” </w:t>
      </w:r>
      <w:r w:rsidRPr="00525724">
        <w:rPr>
          <w:sz w:val="24"/>
          <w:szCs w:val="24"/>
          <w:lang w:val="es-ES"/>
        </w:rPr>
        <w:t>(Bell, 1964), reafirmada años después con la teoría del fin de la historia del estadounidense de origen japonés Francis Fukuyama, que en su libro “</w:t>
      </w:r>
      <w:r w:rsidRPr="00525724">
        <w:rPr>
          <w:rStyle w:val="briefcittitle1"/>
          <w:i/>
          <w:sz w:val="24"/>
          <w:szCs w:val="24"/>
          <w:lang w:val="es-ES"/>
        </w:rPr>
        <w:t>El fin de la historia y el último hombre”</w:t>
      </w:r>
      <w:r w:rsidRPr="00525724">
        <w:rPr>
          <w:sz w:val="24"/>
          <w:szCs w:val="24"/>
          <w:lang w:val="es-ES"/>
        </w:rPr>
        <w:t xml:space="preserve"> afirmaba la estabilidad de la democracia según aceptación de los patrones del liberalismo occidental, descartando, fundamentalmente, la vigencia del marxismo (Fukuyama, 1992).</w:t>
      </w:r>
    </w:p>
    <w:p w14:paraId="1ECF24B1" w14:textId="77777777" w:rsidR="00B911AE" w:rsidRPr="00525724" w:rsidRDefault="00B911AE" w:rsidP="00B911AE">
      <w:pPr>
        <w:spacing w:after="120"/>
        <w:jc w:val="both"/>
        <w:rPr>
          <w:sz w:val="24"/>
          <w:szCs w:val="24"/>
          <w:lang w:val="es-ES"/>
        </w:rPr>
      </w:pPr>
      <w:r w:rsidRPr="00525724">
        <w:rPr>
          <w:sz w:val="24"/>
          <w:szCs w:val="24"/>
          <w:lang w:val="es-ES"/>
        </w:rPr>
        <w:t xml:space="preserve">Mattelart critica que las apuestas por la sociedad del fin de las ideologías terminase por ser la apuesta del fin de muchas otras cosas: </w:t>
      </w:r>
      <w:r w:rsidRPr="00525724">
        <w:rPr>
          <w:i/>
          <w:sz w:val="24"/>
          <w:szCs w:val="24"/>
          <w:lang w:val="es-ES"/>
        </w:rPr>
        <w:t>“fin de la política, fin de la lucha de clases, fin de la intelectualidad contestataria, fin del compromiso, en provecho de la legitimación de la figura del intelectual positivo, orientado hacia la toma de decisiones. Esta tesis está a juego entonces con la sociedad gerencial como horizonte insuperable</w:t>
      </w:r>
      <w:r w:rsidRPr="00525724">
        <w:rPr>
          <w:sz w:val="24"/>
          <w:szCs w:val="24"/>
          <w:lang w:val="es-ES"/>
        </w:rPr>
        <w:t>” (Mattelart, 2009: 74). A la primacía de la visión económica de la globalización se le termina superponiendo una visión determinista de la tecnología, imaginando una sociedad “</w:t>
      </w:r>
      <w:proofErr w:type="spellStart"/>
      <w:r w:rsidRPr="00525724">
        <w:rPr>
          <w:sz w:val="24"/>
          <w:szCs w:val="24"/>
          <w:lang w:val="es-ES"/>
        </w:rPr>
        <w:t>tecnoglobal</w:t>
      </w:r>
      <w:proofErr w:type="spellEnd"/>
      <w:r w:rsidRPr="00525724">
        <w:rPr>
          <w:sz w:val="24"/>
          <w:szCs w:val="24"/>
          <w:lang w:val="es-ES"/>
        </w:rPr>
        <w:t xml:space="preserve">”, sin advertir las lógicas de poder y de dominación desde donde estas tecnologías surgen y se terminan imponiendo. </w:t>
      </w:r>
    </w:p>
    <w:p w14:paraId="0BBF550C" w14:textId="77777777" w:rsidR="00B911AE" w:rsidRPr="00525724" w:rsidRDefault="00B911AE" w:rsidP="00B911AE">
      <w:pPr>
        <w:spacing w:after="120"/>
        <w:jc w:val="both"/>
        <w:rPr>
          <w:sz w:val="24"/>
          <w:szCs w:val="24"/>
          <w:lang w:val="es-ES"/>
        </w:rPr>
      </w:pPr>
      <w:r w:rsidRPr="00525724">
        <w:rPr>
          <w:sz w:val="24"/>
          <w:szCs w:val="24"/>
          <w:lang w:val="es-ES"/>
        </w:rPr>
        <w:t>Primero fue Mc Luhan “</w:t>
      </w:r>
      <w:r w:rsidRPr="00525724">
        <w:rPr>
          <w:i/>
          <w:sz w:val="24"/>
          <w:szCs w:val="24"/>
          <w:lang w:val="es-ES"/>
        </w:rPr>
        <w:t>un h</w:t>
      </w:r>
      <w:r>
        <w:rPr>
          <w:i/>
          <w:sz w:val="24"/>
          <w:szCs w:val="24"/>
          <w:lang w:val="es-ES"/>
        </w:rPr>
        <w:t>ombre que se ha convertido el só</w:t>
      </w:r>
      <w:r w:rsidRPr="00525724">
        <w:rPr>
          <w:i/>
          <w:sz w:val="24"/>
          <w:szCs w:val="24"/>
          <w:lang w:val="es-ES"/>
        </w:rPr>
        <w:t>lo en un paradigma</w:t>
      </w:r>
      <w:r w:rsidRPr="00525724">
        <w:rPr>
          <w:sz w:val="24"/>
          <w:szCs w:val="24"/>
          <w:lang w:val="es-ES"/>
        </w:rPr>
        <w:t>”, y que propuso la idea de que nuestro mundo podía categorizarse como una “aldea planetaria”: “</w:t>
      </w:r>
      <w:r w:rsidRPr="00525724">
        <w:rPr>
          <w:i/>
          <w:sz w:val="24"/>
          <w:szCs w:val="24"/>
          <w:lang w:val="es-ES"/>
        </w:rPr>
        <w:t>Todo ocurría en virtud, sólo, del imperativo tecnológico. De ahí a borrar la complejidad de las culturas y de las sociedades en las que aterrizaban y actuaban estos mensajes, sólo había un paso. Un paso que dieron otros analistas inmersos en la lucha de las ideas. Impresionados por esta concepción determinista, vieron en ella aquello de lo que ya estaban convencidos desde hacía tiempo: las nuevas tecnologías de la comunicación significaban el fin de las ideologías, el auge de una nueva idea del cambio social que arrumbaba definitivamente la vieja obsesión de las revoluciones políticas. Porque, según ellos, la revolución de las comunicaciones ya había empezado a resolver problemas que estas últimas estaban lejos de haber resuelto</w:t>
      </w:r>
      <w:r w:rsidRPr="00525724">
        <w:rPr>
          <w:sz w:val="24"/>
          <w:szCs w:val="24"/>
          <w:lang w:val="es-ES"/>
        </w:rPr>
        <w:t>” (Mattelart, 1993: 152).</w:t>
      </w:r>
    </w:p>
    <w:p w14:paraId="462E706C" w14:textId="77777777" w:rsidR="00B911AE" w:rsidRPr="00525724" w:rsidRDefault="00B911AE" w:rsidP="00B911AE">
      <w:pPr>
        <w:pStyle w:val="Senseespaiat"/>
        <w:spacing w:line="276" w:lineRule="auto"/>
        <w:jc w:val="both"/>
        <w:rPr>
          <w:sz w:val="24"/>
          <w:szCs w:val="24"/>
          <w:u w:val="single"/>
          <w:lang w:val="es-ES"/>
        </w:rPr>
      </w:pPr>
      <w:r w:rsidRPr="00525724">
        <w:rPr>
          <w:sz w:val="24"/>
          <w:szCs w:val="24"/>
          <w:u w:val="single"/>
          <w:lang w:val="es-ES"/>
        </w:rPr>
        <w:t>Investigación de la comunicación y olvido del poder</w:t>
      </w:r>
    </w:p>
    <w:p w14:paraId="7E9BA883" w14:textId="77777777" w:rsidR="00B911AE" w:rsidRPr="00525724" w:rsidRDefault="00B911AE" w:rsidP="00B911AE">
      <w:pPr>
        <w:spacing w:after="120"/>
        <w:jc w:val="both"/>
        <w:rPr>
          <w:sz w:val="24"/>
          <w:szCs w:val="24"/>
          <w:lang w:val="es-ES"/>
        </w:rPr>
      </w:pPr>
      <w:r w:rsidRPr="00525724">
        <w:rPr>
          <w:sz w:val="24"/>
          <w:szCs w:val="24"/>
          <w:lang w:val="es-ES"/>
        </w:rPr>
        <w:t>Decíamos que una de las características de la obra de Mattelart era su permanente búsqueda de las lógicas que el poder impone a la comunicación. Para Mattelart investigar la comunicación, en cualquiera de sus ramas, significa investigar las condiciones que impone el poder a la producción, pero también a la apropiación y al uso de los medios de comunicación.</w:t>
      </w:r>
    </w:p>
    <w:p w14:paraId="349C9C28" w14:textId="77777777" w:rsidR="00B911AE" w:rsidRPr="00525724" w:rsidRDefault="00B911AE" w:rsidP="00B911AE">
      <w:pPr>
        <w:spacing w:after="120"/>
        <w:jc w:val="both"/>
        <w:rPr>
          <w:sz w:val="24"/>
          <w:szCs w:val="24"/>
          <w:lang w:val="es-ES"/>
        </w:rPr>
      </w:pPr>
      <w:r w:rsidRPr="00525724">
        <w:rPr>
          <w:sz w:val="24"/>
          <w:szCs w:val="24"/>
          <w:lang w:val="es-ES"/>
        </w:rPr>
        <w:t xml:space="preserve">Esta lógica orientará sus críticas al estado actual de la investigación (Armand y </w:t>
      </w:r>
      <w:proofErr w:type="spellStart"/>
      <w:r w:rsidRPr="00525724">
        <w:rPr>
          <w:sz w:val="24"/>
          <w:szCs w:val="24"/>
          <w:lang w:val="es-ES"/>
        </w:rPr>
        <w:t>Michèle</w:t>
      </w:r>
      <w:proofErr w:type="spellEnd"/>
      <w:r w:rsidRPr="00525724">
        <w:rPr>
          <w:sz w:val="24"/>
          <w:szCs w:val="24"/>
          <w:lang w:val="es-ES"/>
        </w:rPr>
        <w:t xml:space="preserve"> Mattelart, 1997; Mattelart y </w:t>
      </w:r>
      <w:proofErr w:type="spellStart"/>
      <w:r w:rsidRPr="00525724">
        <w:rPr>
          <w:sz w:val="24"/>
          <w:szCs w:val="24"/>
          <w:lang w:val="es-ES"/>
        </w:rPr>
        <w:t>Neveu</w:t>
      </w:r>
      <w:proofErr w:type="spellEnd"/>
      <w:r w:rsidRPr="00525724">
        <w:rPr>
          <w:sz w:val="24"/>
          <w:szCs w:val="24"/>
          <w:lang w:val="es-ES"/>
        </w:rPr>
        <w:t xml:space="preserve">, 2004). La primera crítica se refiere a la generalización de la investigación “gerencial” en el campo de la comunicación, también a la pérdida de compromiso de la investigación con los intereses populares y el incremento de la ocupación universitaria en investigación aplicada, lejos del compromiso crítico. </w:t>
      </w:r>
    </w:p>
    <w:p w14:paraId="771F7A07" w14:textId="77777777" w:rsidR="00B911AE" w:rsidRPr="00525724" w:rsidRDefault="00B911AE" w:rsidP="00B911AE">
      <w:pPr>
        <w:spacing w:after="120"/>
        <w:jc w:val="both"/>
        <w:rPr>
          <w:sz w:val="24"/>
          <w:szCs w:val="24"/>
          <w:lang w:val="es-ES"/>
        </w:rPr>
      </w:pPr>
      <w:r w:rsidRPr="00525724">
        <w:rPr>
          <w:sz w:val="24"/>
          <w:szCs w:val="24"/>
          <w:lang w:val="es-ES"/>
        </w:rPr>
        <w:t xml:space="preserve">Pero allí donde la crítica de Mattelart plantea mayores controversias teóricas es cuando se confronta con las nuevas tendencias de estudio sobre las mediaciones y sobre la recepción o giro etnográfico, una tendencia que ha ido aproximando los estudios de </w:t>
      </w:r>
      <w:r w:rsidRPr="00525724">
        <w:rPr>
          <w:sz w:val="24"/>
          <w:szCs w:val="24"/>
          <w:lang w:val="es-ES"/>
        </w:rPr>
        <w:lastRenderedPageBreak/>
        <w:t>comunicación y los estudios culturales, especialmente en América Latina. En esta crítica coincide, como hemos visto, con las posiciones más comunes de la economía política de la comunicación que podían sentirse bien representadas con la afirmación de que “</w:t>
      </w:r>
      <w:r w:rsidRPr="00525724">
        <w:rPr>
          <w:i/>
          <w:sz w:val="24"/>
          <w:szCs w:val="24"/>
          <w:lang w:val="es-ES"/>
        </w:rPr>
        <w:t>fundamentalmente el pecado original de los estudios culturales obedece a su déficit de interés por la historia y por la economía</w:t>
      </w:r>
      <w:r w:rsidRPr="00525724">
        <w:rPr>
          <w:sz w:val="24"/>
          <w:szCs w:val="24"/>
          <w:lang w:val="es-ES"/>
        </w:rPr>
        <w:t xml:space="preserve">” (Mattelart y </w:t>
      </w:r>
      <w:proofErr w:type="spellStart"/>
      <w:r w:rsidRPr="00525724">
        <w:rPr>
          <w:sz w:val="24"/>
          <w:szCs w:val="24"/>
          <w:lang w:val="es-ES"/>
        </w:rPr>
        <w:t>Neveu</w:t>
      </w:r>
      <w:proofErr w:type="spellEnd"/>
      <w:r w:rsidRPr="00525724">
        <w:rPr>
          <w:sz w:val="24"/>
          <w:szCs w:val="24"/>
          <w:lang w:val="es-ES"/>
        </w:rPr>
        <w:t>, 2004: 64).</w:t>
      </w:r>
    </w:p>
    <w:p w14:paraId="0D995409" w14:textId="77777777" w:rsidR="00B911AE" w:rsidRPr="00525724" w:rsidRDefault="00B911AE" w:rsidP="00B911AE">
      <w:pPr>
        <w:spacing w:after="120"/>
        <w:jc w:val="both"/>
        <w:rPr>
          <w:sz w:val="24"/>
          <w:szCs w:val="24"/>
          <w:lang w:val="es-ES"/>
        </w:rPr>
      </w:pPr>
      <w:r w:rsidRPr="00525724">
        <w:rPr>
          <w:sz w:val="24"/>
          <w:szCs w:val="24"/>
          <w:lang w:val="es-ES"/>
        </w:rPr>
        <w:t>La obra de Armand Mattelart había señalado, desde el principio, la importancia del factor cultural y la centralidad de la cultura en el marco de la comunicación-mundo (Mattelart, 1993). La crítica no se hace pues a la consideración de la cultura como aspecto central de la comunicación. Mattelart reconoce que “</w:t>
      </w:r>
      <w:r w:rsidRPr="00525724">
        <w:rPr>
          <w:i/>
          <w:sz w:val="24"/>
          <w:szCs w:val="24"/>
          <w:lang w:val="es-ES"/>
        </w:rPr>
        <w:t>la intensificación de la circulación de los flujos culturales generados por el proceso de transnacionalización no conduce a la homogeneización del globo, sino hacia un mundo cada vez mas mestizado</w:t>
      </w:r>
      <w:r w:rsidRPr="00525724">
        <w:rPr>
          <w:sz w:val="24"/>
          <w:szCs w:val="24"/>
          <w:lang w:val="es-ES"/>
        </w:rPr>
        <w:t xml:space="preserve">” (Mattelart, 1993: 261). </w:t>
      </w:r>
    </w:p>
    <w:p w14:paraId="4E39898D" w14:textId="77777777" w:rsidR="00B911AE" w:rsidRPr="00525724" w:rsidRDefault="00B911AE" w:rsidP="00B911AE">
      <w:pPr>
        <w:spacing w:after="120"/>
        <w:jc w:val="both"/>
        <w:rPr>
          <w:sz w:val="24"/>
          <w:szCs w:val="24"/>
          <w:lang w:val="es-ES"/>
        </w:rPr>
      </w:pPr>
      <w:r w:rsidRPr="00525724">
        <w:rPr>
          <w:sz w:val="24"/>
          <w:szCs w:val="24"/>
          <w:lang w:val="es-ES"/>
        </w:rPr>
        <w:t>La crítica se dirige, especialmente, a los estudios culturales de la recepción cuando actúan “</w:t>
      </w:r>
      <w:r w:rsidRPr="00525724">
        <w:rPr>
          <w:i/>
          <w:sz w:val="24"/>
          <w:szCs w:val="24"/>
          <w:lang w:val="es-ES"/>
        </w:rPr>
        <w:t>como si los receptores no tuvieran nada que ver con las relaciones de poder que dan a la sociedad su peculiar configuración. Esta teoría parece ignorar que los medios están implicados en las contradicciones sociales, que sus efectos son intervenciones susceptibles de reforzar o alterar la correlación de fuerzas en presencia</w:t>
      </w:r>
      <w:r w:rsidRPr="00525724">
        <w:rPr>
          <w:sz w:val="24"/>
          <w:szCs w:val="24"/>
          <w:lang w:val="es-ES"/>
        </w:rPr>
        <w:t>” (Mattelart, 1993: 269).</w:t>
      </w:r>
    </w:p>
    <w:p w14:paraId="105ECD7A" w14:textId="77777777" w:rsidR="00B911AE" w:rsidRPr="00525724" w:rsidRDefault="00B911AE" w:rsidP="00B911AE">
      <w:pPr>
        <w:spacing w:after="120"/>
        <w:jc w:val="both"/>
        <w:rPr>
          <w:sz w:val="24"/>
          <w:szCs w:val="24"/>
          <w:lang w:val="es-ES"/>
        </w:rPr>
      </w:pPr>
      <w:r w:rsidRPr="00525724">
        <w:rPr>
          <w:sz w:val="24"/>
          <w:szCs w:val="24"/>
          <w:lang w:val="es-ES"/>
        </w:rPr>
        <w:t>La siguiente cita, que trascribimos a pesar de su relativa extensión, sintetiza su reconocimiento, y al mismo tiempo su crítica a los peligros de unas tendencias que hunden sus raíces en las primeras etapas de la investigación en Latinoamérica (ver el capítulo 8).</w:t>
      </w:r>
    </w:p>
    <w:p w14:paraId="1FFD8056" w14:textId="77777777" w:rsidR="00B911AE" w:rsidRPr="00525724" w:rsidRDefault="00B911AE" w:rsidP="00B911AE">
      <w:pPr>
        <w:spacing w:after="120"/>
        <w:jc w:val="both"/>
        <w:rPr>
          <w:sz w:val="24"/>
          <w:szCs w:val="24"/>
          <w:lang w:val="es-ES"/>
        </w:rPr>
      </w:pPr>
      <w:r w:rsidRPr="00525724">
        <w:rPr>
          <w:sz w:val="24"/>
          <w:szCs w:val="24"/>
          <w:lang w:val="es-ES"/>
        </w:rPr>
        <w:t>“</w:t>
      </w:r>
      <w:r w:rsidRPr="00525724">
        <w:rPr>
          <w:i/>
          <w:sz w:val="24"/>
          <w:szCs w:val="24"/>
          <w:lang w:val="es-ES"/>
        </w:rPr>
        <w:t>La noción de mediación –</w:t>
      </w:r>
      <w:r w:rsidRPr="00525724">
        <w:rPr>
          <w:sz w:val="24"/>
          <w:szCs w:val="24"/>
          <w:lang w:val="es-ES"/>
        </w:rPr>
        <w:t>ha dicho Armand Mattelart-</w:t>
      </w:r>
      <w:r w:rsidRPr="00525724">
        <w:rPr>
          <w:i/>
          <w:sz w:val="24"/>
          <w:szCs w:val="24"/>
          <w:lang w:val="es-ES"/>
        </w:rPr>
        <w:t xml:space="preserve"> ha representado un salto gigantesco porque ha permitido descubrir un conjunto de problemáticas, ha hecho posible plantearse preguntas como qué es la democracia, qué es el Estado; antes teníamos una concepción del Estado completamente monolítica. Con la mediación han vuelto problemas como el de la ciudadanía, la sociedad civil, el problema de la cultura. Pero, al mismo tiempo, el concepto de mediación ha llevado a un relativismo en relación con las instituciones del poder y con las relaciones de fuerza entre culturas (…) Dicho esto, la importancia de la emergencia de la noción de mediación reside en que hace difícil seguir teniendo una mirada </w:t>
      </w:r>
      <w:proofErr w:type="spellStart"/>
      <w:r w:rsidRPr="00525724">
        <w:rPr>
          <w:i/>
          <w:sz w:val="24"/>
          <w:szCs w:val="24"/>
          <w:lang w:val="es-ES"/>
        </w:rPr>
        <w:t>monodisciplinaria</w:t>
      </w:r>
      <w:proofErr w:type="spellEnd"/>
      <w:r w:rsidRPr="00525724">
        <w:rPr>
          <w:i/>
          <w:sz w:val="24"/>
          <w:szCs w:val="24"/>
          <w:lang w:val="es-ES"/>
        </w:rPr>
        <w:t xml:space="preserve"> sobre la sociedad. Es evidente que durante los años sesenta y setenta, las ciencias sociales —y sobre todo las de la información y la comunicación— se han construido, aún dentro del sector crítico, unas contra otras. Yo me acuerdo muy bien de la polémica (…) entre las posturas de Verón versus las de </w:t>
      </w:r>
      <w:proofErr w:type="spellStart"/>
      <w:r w:rsidRPr="00525724">
        <w:rPr>
          <w:i/>
          <w:sz w:val="24"/>
          <w:szCs w:val="24"/>
          <w:lang w:val="es-ES"/>
        </w:rPr>
        <w:t>Schmucler</w:t>
      </w:r>
      <w:proofErr w:type="spellEnd"/>
      <w:r w:rsidRPr="00525724">
        <w:rPr>
          <w:i/>
          <w:sz w:val="24"/>
          <w:szCs w:val="24"/>
          <w:lang w:val="es-ES"/>
        </w:rPr>
        <w:t xml:space="preserve"> y Mattelart, o de “</w:t>
      </w:r>
      <w:r w:rsidRPr="00525724">
        <w:rPr>
          <w:i/>
          <w:iCs/>
          <w:sz w:val="24"/>
          <w:szCs w:val="24"/>
          <w:lang w:val="es-ES"/>
        </w:rPr>
        <w:t xml:space="preserve">Comunicación y Cultura” </w:t>
      </w:r>
      <w:r w:rsidRPr="00525724">
        <w:rPr>
          <w:i/>
          <w:sz w:val="24"/>
          <w:szCs w:val="24"/>
          <w:lang w:val="es-ES"/>
        </w:rPr>
        <w:t>contra “</w:t>
      </w:r>
      <w:r w:rsidRPr="00525724">
        <w:rPr>
          <w:i/>
          <w:iCs/>
          <w:sz w:val="24"/>
          <w:szCs w:val="24"/>
          <w:lang w:val="es-ES"/>
        </w:rPr>
        <w:t>Lenguajes”</w:t>
      </w:r>
      <w:r w:rsidRPr="00525724">
        <w:rPr>
          <w:i/>
          <w:sz w:val="24"/>
          <w:szCs w:val="24"/>
          <w:lang w:val="es-ES"/>
        </w:rPr>
        <w:t xml:space="preserve">. Teníamos por un lado una visión inspirada en el análisis del discurso y por otro, una visión inspirada en la economía política. En mi opinión fue un período histórico fecundo a pesar de las oposiciones que se reflejaban en todas partes; por </w:t>
      </w:r>
      <w:proofErr w:type="gramStart"/>
      <w:r w:rsidRPr="00525724">
        <w:rPr>
          <w:i/>
          <w:sz w:val="24"/>
          <w:szCs w:val="24"/>
          <w:lang w:val="es-ES"/>
        </w:rPr>
        <w:t>ejemplo</w:t>
      </w:r>
      <w:proofErr w:type="gramEnd"/>
      <w:r w:rsidRPr="00525724">
        <w:rPr>
          <w:i/>
          <w:sz w:val="24"/>
          <w:szCs w:val="24"/>
          <w:lang w:val="es-ES"/>
        </w:rPr>
        <w:t xml:space="preserve"> el campo de los análisis culturales y comunicacionales dominado por la visión de la economía política se </w:t>
      </w:r>
      <w:r w:rsidRPr="00525724">
        <w:rPr>
          <w:i/>
          <w:sz w:val="24"/>
          <w:szCs w:val="24"/>
          <w:lang w:val="es-ES"/>
        </w:rPr>
        <w:lastRenderedPageBreak/>
        <w:t xml:space="preserve">constituyó contra o en oposición a los cultural </w:t>
      </w:r>
      <w:proofErr w:type="spellStart"/>
      <w:r w:rsidRPr="00525724">
        <w:rPr>
          <w:i/>
          <w:sz w:val="24"/>
          <w:szCs w:val="24"/>
          <w:lang w:val="es-ES"/>
        </w:rPr>
        <w:t>studies</w:t>
      </w:r>
      <w:proofErr w:type="spellEnd"/>
      <w:r w:rsidRPr="00525724">
        <w:rPr>
          <w:i/>
          <w:sz w:val="24"/>
          <w:szCs w:val="24"/>
          <w:lang w:val="es-ES"/>
        </w:rPr>
        <w:t xml:space="preserve"> y unos a otros se reprochaban tanto el ser </w:t>
      </w:r>
      <w:proofErr w:type="gramStart"/>
      <w:r w:rsidRPr="00525724">
        <w:rPr>
          <w:i/>
          <w:sz w:val="24"/>
          <w:szCs w:val="24"/>
          <w:lang w:val="es-ES"/>
        </w:rPr>
        <w:t>demasiado materialista o demasiado idealista</w:t>
      </w:r>
      <w:proofErr w:type="gramEnd"/>
      <w:r w:rsidRPr="00525724">
        <w:rPr>
          <w:i/>
          <w:sz w:val="24"/>
          <w:szCs w:val="24"/>
          <w:lang w:val="es-ES"/>
        </w:rPr>
        <w:t>”</w:t>
      </w:r>
      <w:r w:rsidRPr="00525724">
        <w:rPr>
          <w:rStyle w:val="Refernciadenotaapeudepgina"/>
          <w:sz w:val="24"/>
          <w:szCs w:val="24"/>
          <w:lang w:val="es-ES"/>
        </w:rPr>
        <w:footnoteReference w:id="1"/>
      </w:r>
      <w:r w:rsidRPr="00525724">
        <w:rPr>
          <w:sz w:val="24"/>
          <w:szCs w:val="24"/>
          <w:lang w:val="es-ES"/>
        </w:rPr>
        <w:t xml:space="preserve">. </w:t>
      </w:r>
    </w:p>
    <w:p w14:paraId="5B3133DD" w14:textId="77777777" w:rsidR="00B911AE" w:rsidRPr="00525724" w:rsidRDefault="00B911AE" w:rsidP="00B911AE">
      <w:pPr>
        <w:spacing w:after="120"/>
        <w:jc w:val="both"/>
        <w:rPr>
          <w:sz w:val="24"/>
          <w:szCs w:val="24"/>
          <w:lang w:val="es-ES"/>
        </w:rPr>
      </w:pPr>
      <w:r w:rsidRPr="00525724">
        <w:rPr>
          <w:sz w:val="24"/>
          <w:szCs w:val="24"/>
          <w:lang w:val="es-ES"/>
        </w:rPr>
        <w:t xml:space="preserve">Mattelart señala que este es un problema político y epistemológico al mismo tiempo: el giro etnográfico no solamente </w:t>
      </w:r>
      <w:proofErr w:type="gramStart"/>
      <w:r w:rsidRPr="00525724">
        <w:rPr>
          <w:sz w:val="24"/>
          <w:szCs w:val="24"/>
          <w:lang w:val="es-ES"/>
        </w:rPr>
        <w:t>coincide</w:t>
      </w:r>
      <w:proofErr w:type="gramEnd"/>
      <w:r w:rsidRPr="00525724">
        <w:rPr>
          <w:sz w:val="24"/>
          <w:szCs w:val="24"/>
          <w:lang w:val="es-ES"/>
        </w:rPr>
        <w:t xml:space="preserve"> sino que puede relacionarse con el giro conservador que lleva al poder a Margaret Thatcher y Ronald Reagan, a lo que sigue un proceso de privatización y liberalización de los sistemas de comunicación. </w:t>
      </w:r>
    </w:p>
    <w:p w14:paraId="099F9036" w14:textId="77777777" w:rsidR="00B911AE" w:rsidRPr="00525724" w:rsidRDefault="00B911AE" w:rsidP="00B911AE">
      <w:pPr>
        <w:spacing w:after="120"/>
        <w:jc w:val="both"/>
        <w:rPr>
          <w:sz w:val="24"/>
          <w:szCs w:val="24"/>
          <w:lang w:val="es-ES"/>
        </w:rPr>
      </w:pPr>
      <w:r w:rsidRPr="00525724">
        <w:rPr>
          <w:sz w:val="24"/>
          <w:szCs w:val="24"/>
          <w:lang w:val="es-ES"/>
        </w:rPr>
        <w:t xml:space="preserve">La cuestión es qué valor puede darse a la capacidad de resistencia de la recepción -privilegiada por la etnografía de los usos de la comunicación- cuando esto coincide con un incremento acelerado de la concentración y con la evidencia de las condiciones desiguales que se producen en los flujos de información e influencia. Para Mattelart </w:t>
      </w:r>
      <w:r w:rsidRPr="00525724">
        <w:rPr>
          <w:i/>
          <w:sz w:val="24"/>
          <w:szCs w:val="24"/>
          <w:lang w:val="es-ES"/>
        </w:rPr>
        <w:t xml:space="preserve">“hay que decir que los estudios sobre el retorno del sujeto fueron demasiado lejos en el proceso de </w:t>
      </w:r>
      <w:proofErr w:type="spellStart"/>
      <w:r w:rsidRPr="00525724">
        <w:rPr>
          <w:i/>
          <w:sz w:val="24"/>
          <w:szCs w:val="24"/>
          <w:lang w:val="es-ES"/>
        </w:rPr>
        <w:t>inocentar</w:t>
      </w:r>
      <w:proofErr w:type="spellEnd"/>
      <w:r w:rsidRPr="00525724">
        <w:rPr>
          <w:i/>
          <w:sz w:val="24"/>
          <w:szCs w:val="24"/>
          <w:lang w:val="es-ES"/>
        </w:rPr>
        <w:t xml:space="preserve"> una estructura de poder” </w:t>
      </w:r>
      <w:r w:rsidRPr="00525724">
        <w:rPr>
          <w:rStyle w:val="Refernciadenotaapeudepgina"/>
          <w:sz w:val="24"/>
          <w:szCs w:val="24"/>
          <w:lang w:val="es-ES"/>
        </w:rPr>
        <w:footnoteReference w:id="2"/>
      </w:r>
      <w:r w:rsidRPr="00525724">
        <w:rPr>
          <w:sz w:val="24"/>
          <w:szCs w:val="24"/>
          <w:lang w:val="es-ES"/>
        </w:rPr>
        <w:t xml:space="preserve">. </w:t>
      </w:r>
    </w:p>
    <w:p w14:paraId="496C22CF" w14:textId="77777777" w:rsidR="00B911AE" w:rsidRPr="00525724" w:rsidRDefault="00B911AE" w:rsidP="00B911AE">
      <w:pPr>
        <w:spacing w:after="120"/>
        <w:jc w:val="both"/>
        <w:rPr>
          <w:sz w:val="24"/>
          <w:szCs w:val="24"/>
          <w:lang w:val="es-ES"/>
        </w:rPr>
      </w:pPr>
      <w:r w:rsidRPr="00525724">
        <w:rPr>
          <w:sz w:val="24"/>
          <w:szCs w:val="24"/>
          <w:lang w:val="es-ES"/>
        </w:rPr>
        <w:t>Mattelart reconoce que el interés que se ha prestado a las mediaciones, negociaciones e hibridaciones ha permitido</w:t>
      </w:r>
      <w:r w:rsidRPr="00525724">
        <w:rPr>
          <w:i/>
          <w:sz w:val="24"/>
          <w:szCs w:val="24"/>
          <w:lang w:val="es-ES"/>
        </w:rPr>
        <w:t xml:space="preserve"> “romper con los </w:t>
      </w:r>
      <w:proofErr w:type="gramStart"/>
      <w:r w:rsidRPr="00525724">
        <w:rPr>
          <w:i/>
          <w:sz w:val="24"/>
          <w:szCs w:val="24"/>
          <w:lang w:val="es-ES"/>
        </w:rPr>
        <w:t>esquema dicotómicos</w:t>
      </w:r>
      <w:proofErr w:type="gramEnd"/>
      <w:r w:rsidRPr="00525724">
        <w:rPr>
          <w:i/>
          <w:sz w:val="24"/>
          <w:szCs w:val="24"/>
          <w:lang w:val="es-ES"/>
        </w:rPr>
        <w:t xml:space="preserve"> de las relaciones de poder”</w:t>
      </w:r>
      <w:r w:rsidRPr="00525724">
        <w:rPr>
          <w:sz w:val="24"/>
          <w:szCs w:val="24"/>
          <w:lang w:val="es-ES"/>
        </w:rPr>
        <w:t xml:space="preserve">, pero al mismo tiempo crítica que esto haya </w:t>
      </w:r>
      <w:r w:rsidRPr="00525724">
        <w:rPr>
          <w:i/>
          <w:sz w:val="24"/>
          <w:szCs w:val="24"/>
          <w:lang w:val="es-ES"/>
        </w:rPr>
        <w:t xml:space="preserve">“permitido remedar la protesta al esquivar cualquier crítica dirigida a las causas estructurales de los grandes desequilibrios del mundo. El precio del rescate, en el punto culminante de la ofensiva ultraliberal durante las décadas de 1980 y 1990, ha sido el vaciamiento de la reflexión que acreditan la deformación y el maltratamiento de los pensamientos rebeldes” </w:t>
      </w:r>
      <w:r w:rsidRPr="00525724">
        <w:rPr>
          <w:sz w:val="24"/>
          <w:szCs w:val="24"/>
          <w:lang w:val="es-ES"/>
        </w:rPr>
        <w:t>(Mattelart 2006a: 111).</w:t>
      </w:r>
    </w:p>
    <w:p w14:paraId="54804C12" w14:textId="77777777" w:rsidR="00B911AE" w:rsidRPr="00525724" w:rsidRDefault="00B911AE" w:rsidP="00B911AE">
      <w:pPr>
        <w:spacing w:after="120"/>
        <w:jc w:val="both"/>
        <w:rPr>
          <w:sz w:val="24"/>
          <w:szCs w:val="24"/>
          <w:lang w:val="es-ES"/>
        </w:rPr>
      </w:pPr>
      <w:r w:rsidRPr="00525724">
        <w:rPr>
          <w:sz w:val="24"/>
          <w:szCs w:val="24"/>
          <w:lang w:val="es-ES"/>
        </w:rPr>
        <w:t xml:space="preserve">Esta crítica, o advertencia, </w:t>
      </w:r>
      <w:r>
        <w:rPr>
          <w:sz w:val="24"/>
          <w:szCs w:val="24"/>
          <w:lang w:val="es-ES"/>
        </w:rPr>
        <w:t>deberá</w:t>
      </w:r>
      <w:r w:rsidRPr="00525724">
        <w:rPr>
          <w:sz w:val="24"/>
          <w:szCs w:val="24"/>
          <w:lang w:val="es-ES"/>
        </w:rPr>
        <w:t xml:space="preserve"> resolverse </w:t>
      </w:r>
      <w:r>
        <w:rPr>
          <w:sz w:val="24"/>
          <w:szCs w:val="24"/>
          <w:lang w:val="es-ES"/>
        </w:rPr>
        <w:t>en el</w:t>
      </w:r>
      <w:r w:rsidRPr="00525724">
        <w:rPr>
          <w:sz w:val="24"/>
          <w:szCs w:val="24"/>
          <w:lang w:val="es-ES"/>
        </w:rPr>
        <w:t xml:space="preserve"> marco de los </w:t>
      </w:r>
      <w:r>
        <w:rPr>
          <w:sz w:val="24"/>
          <w:szCs w:val="24"/>
          <w:lang w:val="es-ES"/>
        </w:rPr>
        <w:t xml:space="preserve">estudios de comunicación </w:t>
      </w:r>
      <w:r w:rsidRPr="00525724">
        <w:rPr>
          <w:sz w:val="24"/>
          <w:szCs w:val="24"/>
          <w:lang w:val="es-ES"/>
        </w:rPr>
        <w:t>que también se cuestione</w:t>
      </w:r>
      <w:r>
        <w:rPr>
          <w:sz w:val="24"/>
          <w:szCs w:val="24"/>
          <w:lang w:val="es-ES"/>
        </w:rPr>
        <w:t>n</w:t>
      </w:r>
      <w:r w:rsidRPr="00525724">
        <w:rPr>
          <w:sz w:val="24"/>
          <w:szCs w:val="24"/>
          <w:lang w:val="es-ES"/>
        </w:rPr>
        <w:t xml:space="preserve"> “el precio del rescate” de algunas tendencias de la teoría economicista de la comunicación, como hemos visto al tratar de la posible y deseable colaboración entre la economía política y los estudio</w:t>
      </w:r>
      <w:r>
        <w:rPr>
          <w:sz w:val="24"/>
          <w:szCs w:val="24"/>
          <w:lang w:val="es-ES"/>
        </w:rPr>
        <w:t>s culturales de la comunicación.</w:t>
      </w:r>
    </w:p>
    <w:p w14:paraId="58F32574" w14:textId="77777777" w:rsidR="00B911AE" w:rsidRPr="00525724" w:rsidRDefault="00B911AE" w:rsidP="00B911AE">
      <w:pPr>
        <w:pStyle w:val="Senseespaiat"/>
        <w:spacing w:line="276" w:lineRule="auto"/>
        <w:jc w:val="both"/>
        <w:rPr>
          <w:sz w:val="24"/>
          <w:szCs w:val="24"/>
          <w:u w:val="single"/>
          <w:lang w:val="es-ES"/>
        </w:rPr>
      </w:pPr>
      <w:r w:rsidRPr="00525724">
        <w:rPr>
          <w:i/>
          <w:sz w:val="24"/>
          <w:szCs w:val="24"/>
          <w:u w:val="single"/>
          <w:lang w:val="es-ES"/>
        </w:rPr>
        <w:t>Un mundo vigilado</w:t>
      </w:r>
    </w:p>
    <w:p w14:paraId="02F0C7F5" w14:textId="77777777" w:rsidR="00B911AE" w:rsidRPr="00525724" w:rsidRDefault="00B911AE" w:rsidP="00B911AE">
      <w:pPr>
        <w:pStyle w:val="Senseespaiat"/>
        <w:spacing w:after="120" w:line="276" w:lineRule="auto"/>
        <w:jc w:val="both"/>
        <w:rPr>
          <w:rFonts w:eastAsia="Times New Roman"/>
          <w:sz w:val="24"/>
          <w:szCs w:val="24"/>
          <w:lang w:val="es-ES"/>
        </w:rPr>
      </w:pPr>
      <w:r w:rsidRPr="00525724">
        <w:rPr>
          <w:sz w:val="24"/>
          <w:szCs w:val="24"/>
          <w:lang w:val="es-ES"/>
        </w:rPr>
        <w:t xml:space="preserve">La última obra de Armand Mattelart </w:t>
      </w:r>
      <w:r w:rsidRPr="00525724">
        <w:rPr>
          <w:rFonts w:eastAsia="Times New Roman"/>
          <w:bCs/>
          <w:i/>
          <w:sz w:val="24"/>
          <w:szCs w:val="24"/>
          <w:lang w:val="es-ES"/>
        </w:rPr>
        <w:t xml:space="preserve">Un mundo vigilado </w:t>
      </w:r>
      <w:r w:rsidRPr="00525724">
        <w:rPr>
          <w:rFonts w:eastAsia="Times New Roman"/>
          <w:sz w:val="24"/>
          <w:szCs w:val="24"/>
          <w:lang w:val="es-ES"/>
        </w:rPr>
        <w:t>(2009)</w:t>
      </w:r>
      <w:r w:rsidRPr="00525724">
        <w:rPr>
          <w:rFonts w:eastAsia="Times New Roman"/>
          <w:bCs/>
          <w:sz w:val="24"/>
          <w:szCs w:val="24"/>
          <w:lang w:val="es-ES"/>
        </w:rPr>
        <w:t xml:space="preserve"> se</w:t>
      </w:r>
      <w:r w:rsidRPr="00525724">
        <w:rPr>
          <w:rFonts w:eastAsia="Times New Roman"/>
          <w:sz w:val="24"/>
          <w:szCs w:val="24"/>
          <w:lang w:val="es-ES"/>
        </w:rPr>
        <w:t xml:space="preserve"> refiere a la sociedad de la información como una sociedad en la que los instrumentos y recursos de control de la ciudadanía han alcanzado nuevas y mayores cotas. </w:t>
      </w:r>
      <w:r w:rsidRPr="00525724">
        <w:rPr>
          <w:sz w:val="24"/>
          <w:szCs w:val="24"/>
          <w:lang w:val="es-ES"/>
        </w:rPr>
        <w:t>No se trata</w:t>
      </w:r>
      <w:r>
        <w:rPr>
          <w:sz w:val="24"/>
          <w:szCs w:val="24"/>
          <w:lang w:val="es-ES"/>
        </w:rPr>
        <w:t xml:space="preserve"> tanto de un cambio estructural</w:t>
      </w:r>
      <w:r w:rsidRPr="00525724">
        <w:rPr>
          <w:sz w:val="24"/>
          <w:szCs w:val="24"/>
          <w:lang w:val="es-ES"/>
        </w:rPr>
        <w:t xml:space="preserve"> como del incremento y adaptación de antiguas formas de control de la opinión pública, ya conocidas desde el siglo XVIII y, más recientemente, después de la segunda guerra mundial, con la guerra psicológica y la guerra fría.</w:t>
      </w:r>
    </w:p>
    <w:p w14:paraId="6A33BC4C" w14:textId="77777777" w:rsidR="00B911AE" w:rsidRPr="00525724" w:rsidRDefault="00B911AE" w:rsidP="00B911AE">
      <w:pPr>
        <w:pStyle w:val="Senseespaiat"/>
        <w:spacing w:after="120" w:line="276" w:lineRule="auto"/>
        <w:jc w:val="both"/>
        <w:rPr>
          <w:color w:val="7030A0"/>
          <w:sz w:val="24"/>
          <w:szCs w:val="24"/>
          <w:lang w:val="es-ES"/>
        </w:rPr>
      </w:pPr>
      <w:r w:rsidRPr="00525724">
        <w:rPr>
          <w:sz w:val="24"/>
          <w:szCs w:val="24"/>
          <w:lang w:val="es-ES"/>
        </w:rPr>
        <w:t xml:space="preserve">Los nuevos sistemas de control, o medidas de excepción, adoptadas por las administraciones en su reacción ante el terrorismo internacional afectan a la ciudadanía común, bajo la razón incuestionable de la seguridad nacional, poniendo en cuestión la protección de sus libertades. Bauman en su libro </w:t>
      </w:r>
      <w:r w:rsidRPr="00525724">
        <w:rPr>
          <w:i/>
          <w:sz w:val="24"/>
          <w:szCs w:val="24"/>
          <w:lang w:val="es-ES"/>
        </w:rPr>
        <w:t>Tiempos líquidos</w:t>
      </w:r>
      <w:r w:rsidRPr="00525724">
        <w:rPr>
          <w:sz w:val="24"/>
          <w:szCs w:val="24"/>
          <w:lang w:val="es-ES"/>
        </w:rPr>
        <w:t xml:space="preserve"> (Bauman, 2007: 17) relata que Donald Rumsfeld, antes de enviar las tropas americanas a Iraq, declaró que “la guerra se habrá ganado cuando los estadounidenses vuelvan a sentirse seguros”.</w:t>
      </w:r>
      <w:r w:rsidRPr="00525724">
        <w:rPr>
          <w:color w:val="7030A0"/>
          <w:sz w:val="24"/>
          <w:szCs w:val="24"/>
          <w:lang w:val="es-ES"/>
        </w:rPr>
        <w:t xml:space="preserve"> </w:t>
      </w:r>
    </w:p>
    <w:p w14:paraId="5DCB9596" w14:textId="77777777" w:rsidR="00B911AE" w:rsidRPr="00525724" w:rsidRDefault="00B911AE" w:rsidP="00B911AE">
      <w:pPr>
        <w:pStyle w:val="Senseespaiat"/>
        <w:spacing w:after="120" w:line="276" w:lineRule="auto"/>
        <w:jc w:val="both"/>
        <w:rPr>
          <w:sz w:val="24"/>
          <w:szCs w:val="24"/>
          <w:lang w:val="es-ES"/>
        </w:rPr>
      </w:pPr>
      <w:r w:rsidRPr="00525724">
        <w:rPr>
          <w:sz w:val="24"/>
          <w:szCs w:val="24"/>
          <w:lang w:val="es-ES"/>
        </w:rPr>
        <w:lastRenderedPageBreak/>
        <w:t>A cada nueva crisis –afirma Mattelart- le va correspondiendo un incremento de las formas de vigilancia. Después del atentado a la torres gemelas de Nueva York, en septiembre de 2001, a propuesta de Bush, se aprueba la ley denominada ”</w:t>
      </w:r>
      <w:proofErr w:type="spellStart"/>
      <w:r w:rsidRPr="00525724">
        <w:rPr>
          <w:color w:val="000000"/>
          <w:sz w:val="24"/>
          <w:szCs w:val="24"/>
          <w:lang w:val="es-ES"/>
        </w:rPr>
        <w:t>Patriot</w:t>
      </w:r>
      <w:proofErr w:type="spellEnd"/>
      <w:r w:rsidRPr="00525724">
        <w:rPr>
          <w:color w:val="000000"/>
          <w:sz w:val="24"/>
          <w:szCs w:val="24"/>
          <w:lang w:val="es-ES"/>
        </w:rPr>
        <w:t xml:space="preserve"> </w:t>
      </w:r>
      <w:proofErr w:type="spellStart"/>
      <w:r w:rsidRPr="00525724">
        <w:rPr>
          <w:color w:val="000000"/>
          <w:sz w:val="24"/>
          <w:szCs w:val="24"/>
          <w:lang w:val="es-ES"/>
        </w:rPr>
        <w:t>Act</w:t>
      </w:r>
      <w:proofErr w:type="spellEnd"/>
      <w:r w:rsidRPr="00525724">
        <w:rPr>
          <w:color w:val="000000"/>
          <w:sz w:val="24"/>
          <w:szCs w:val="24"/>
          <w:lang w:val="es-ES"/>
        </w:rPr>
        <w:t>” (</w:t>
      </w:r>
      <w:proofErr w:type="spellStart"/>
      <w:r w:rsidRPr="00525724">
        <w:rPr>
          <w:bCs/>
          <w:sz w:val="24"/>
          <w:szCs w:val="24"/>
          <w:lang w:val="es-ES"/>
        </w:rPr>
        <w:t>Uniting</w:t>
      </w:r>
      <w:proofErr w:type="spellEnd"/>
      <w:r w:rsidRPr="00525724">
        <w:rPr>
          <w:bCs/>
          <w:sz w:val="24"/>
          <w:szCs w:val="24"/>
          <w:lang w:val="es-ES"/>
        </w:rPr>
        <w:t xml:space="preserve"> and </w:t>
      </w:r>
      <w:proofErr w:type="spellStart"/>
      <w:r w:rsidRPr="00525724">
        <w:rPr>
          <w:bCs/>
          <w:sz w:val="24"/>
          <w:szCs w:val="24"/>
          <w:lang w:val="es-ES"/>
        </w:rPr>
        <w:t>Strengthening</w:t>
      </w:r>
      <w:proofErr w:type="spellEnd"/>
      <w:r w:rsidRPr="00525724">
        <w:rPr>
          <w:bCs/>
          <w:sz w:val="24"/>
          <w:szCs w:val="24"/>
          <w:lang w:val="es-ES"/>
        </w:rPr>
        <w:t xml:space="preserve"> </w:t>
      </w:r>
      <w:proofErr w:type="spellStart"/>
      <w:r w:rsidRPr="00525724">
        <w:rPr>
          <w:bCs/>
          <w:sz w:val="24"/>
          <w:szCs w:val="24"/>
          <w:lang w:val="es-ES"/>
        </w:rPr>
        <w:t>America</w:t>
      </w:r>
      <w:proofErr w:type="spellEnd"/>
      <w:r w:rsidRPr="00525724">
        <w:rPr>
          <w:bCs/>
          <w:sz w:val="24"/>
          <w:szCs w:val="24"/>
          <w:lang w:val="es-ES"/>
        </w:rPr>
        <w:t xml:space="preserve"> </w:t>
      </w:r>
      <w:proofErr w:type="spellStart"/>
      <w:r w:rsidRPr="00525724">
        <w:rPr>
          <w:bCs/>
          <w:sz w:val="24"/>
          <w:szCs w:val="24"/>
          <w:lang w:val="es-ES"/>
        </w:rPr>
        <w:t>by</w:t>
      </w:r>
      <w:proofErr w:type="spellEnd"/>
      <w:r w:rsidRPr="00525724">
        <w:rPr>
          <w:bCs/>
          <w:sz w:val="24"/>
          <w:szCs w:val="24"/>
          <w:lang w:val="es-ES"/>
        </w:rPr>
        <w:t xml:space="preserve"> </w:t>
      </w:r>
      <w:proofErr w:type="spellStart"/>
      <w:r w:rsidRPr="00525724">
        <w:rPr>
          <w:bCs/>
          <w:sz w:val="24"/>
          <w:szCs w:val="24"/>
          <w:lang w:val="es-ES"/>
        </w:rPr>
        <w:t>Providing</w:t>
      </w:r>
      <w:proofErr w:type="spellEnd"/>
      <w:r w:rsidRPr="00525724">
        <w:rPr>
          <w:bCs/>
          <w:sz w:val="24"/>
          <w:szCs w:val="24"/>
          <w:lang w:val="es-ES"/>
        </w:rPr>
        <w:t xml:space="preserve"> </w:t>
      </w:r>
      <w:proofErr w:type="spellStart"/>
      <w:r w:rsidRPr="00525724">
        <w:rPr>
          <w:bCs/>
          <w:sz w:val="24"/>
          <w:szCs w:val="24"/>
          <w:lang w:val="es-ES"/>
        </w:rPr>
        <w:t>Appropriate</w:t>
      </w:r>
      <w:proofErr w:type="spellEnd"/>
      <w:r w:rsidRPr="00525724">
        <w:rPr>
          <w:bCs/>
          <w:sz w:val="24"/>
          <w:szCs w:val="24"/>
          <w:lang w:val="es-ES"/>
        </w:rPr>
        <w:t xml:space="preserve"> Tools </w:t>
      </w:r>
      <w:proofErr w:type="spellStart"/>
      <w:r w:rsidRPr="00525724">
        <w:rPr>
          <w:bCs/>
          <w:sz w:val="24"/>
          <w:szCs w:val="24"/>
          <w:lang w:val="es-ES"/>
        </w:rPr>
        <w:t>Required</w:t>
      </w:r>
      <w:proofErr w:type="spellEnd"/>
      <w:r w:rsidRPr="00525724">
        <w:rPr>
          <w:bCs/>
          <w:sz w:val="24"/>
          <w:szCs w:val="24"/>
          <w:lang w:val="es-ES"/>
        </w:rPr>
        <w:t xml:space="preserve"> </w:t>
      </w:r>
      <w:proofErr w:type="spellStart"/>
      <w:r w:rsidRPr="00525724">
        <w:rPr>
          <w:bCs/>
          <w:sz w:val="24"/>
          <w:szCs w:val="24"/>
          <w:lang w:val="es-ES"/>
        </w:rPr>
        <w:t>to</w:t>
      </w:r>
      <w:proofErr w:type="spellEnd"/>
      <w:r w:rsidRPr="00525724">
        <w:rPr>
          <w:bCs/>
          <w:sz w:val="24"/>
          <w:szCs w:val="24"/>
          <w:lang w:val="es-ES"/>
        </w:rPr>
        <w:t xml:space="preserve"> </w:t>
      </w:r>
      <w:proofErr w:type="spellStart"/>
      <w:r w:rsidRPr="00525724">
        <w:rPr>
          <w:bCs/>
          <w:sz w:val="24"/>
          <w:szCs w:val="24"/>
          <w:lang w:val="es-ES"/>
        </w:rPr>
        <w:t>Intercept</w:t>
      </w:r>
      <w:proofErr w:type="spellEnd"/>
      <w:r w:rsidRPr="00525724">
        <w:rPr>
          <w:bCs/>
          <w:sz w:val="24"/>
          <w:szCs w:val="24"/>
          <w:lang w:val="es-ES"/>
        </w:rPr>
        <w:t xml:space="preserve"> and </w:t>
      </w:r>
      <w:proofErr w:type="spellStart"/>
      <w:r w:rsidRPr="00525724">
        <w:rPr>
          <w:bCs/>
          <w:sz w:val="24"/>
          <w:szCs w:val="24"/>
          <w:lang w:val="es-ES"/>
        </w:rPr>
        <w:t>Obstruct</w:t>
      </w:r>
      <w:proofErr w:type="spellEnd"/>
      <w:r w:rsidRPr="00525724">
        <w:rPr>
          <w:bCs/>
          <w:sz w:val="24"/>
          <w:szCs w:val="24"/>
          <w:lang w:val="es-ES"/>
        </w:rPr>
        <w:t xml:space="preserve"> </w:t>
      </w:r>
      <w:proofErr w:type="spellStart"/>
      <w:r w:rsidRPr="00525724">
        <w:rPr>
          <w:bCs/>
          <w:sz w:val="24"/>
          <w:szCs w:val="24"/>
          <w:lang w:val="es-ES"/>
        </w:rPr>
        <w:t>Terrorism</w:t>
      </w:r>
      <w:proofErr w:type="spellEnd"/>
      <w:r w:rsidRPr="00525724">
        <w:rPr>
          <w:bCs/>
          <w:sz w:val="24"/>
          <w:szCs w:val="24"/>
          <w:lang w:val="es-ES"/>
        </w:rPr>
        <w:t xml:space="preserve"> </w:t>
      </w:r>
      <w:proofErr w:type="spellStart"/>
      <w:r w:rsidRPr="00525724">
        <w:rPr>
          <w:bCs/>
          <w:sz w:val="24"/>
          <w:szCs w:val="24"/>
          <w:lang w:val="es-ES"/>
        </w:rPr>
        <w:t>Act</w:t>
      </w:r>
      <w:proofErr w:type="spellEnd"/>
      <w:r w:rsidRPr="00525724">
        <w:rPr>
          <w:bCs/>
          <w:sz w:val="24"/>
          <w:szCs w:val="24"/>
          <w:lang w:val="es-ES"/>
        </w:rPr>
        <w:t xml:space="preserve"> </w:t>
      </w:r>
      <w:proofErr w:type="spellStart"/>
      <w:r w:rsidRPr="00525724">
        <w:rPr>
          <w:bCs/>
          <w:sz w:val="24"/>
          <w:szCs w:val="24"/>
          <w:lang w:val="es-ES"/>
        </w:rPr>
        <w:t>of</w:t>
      </w:r>
      <w:proofErr w:type="spellEnd"/>
      <w:r w:rsidRPr="00525724">
        <w:rPr>
          <w:bCs/>
          <w:sz w:val="24"/>
          <w:szCs w:val="24"/>
          <w:lang w:val="es-ES"/>
        </w:rPr>
        <w:t xml:space="preserve"> 2001)</w:t>
      </w:r>
      <w:r w:rsidRPr="00525724">
        <w:rPr>
          <w:color w:val="000000"/>
          <w:sz w:val="24"/>
          <w:szCs w:val="24"/>
          <w:lang w:val="es-ES"/>
        </w:rPr>
        <w:t>, ley que venía a legalizar diversas prácticas de control y espionaje como las escuchas, los registros y las incautaciones de ordenadores, confiadas a decisiones de la policía federal, obligando a grandes compañías como las operadoras de telefonía, los bancos, los agencias de viajes, etc. a suministrar datos personales de sus clientes.</w:t>
      </w:r>
    </w:p>
    <w:p w14:paraId="66369480" w14:textId="77777777" w:rsidR="00B911AE" w:rsidRPr="00525724" w:rsidRDefault="00B911AE" w:rsidP="00B911AE">
      <w:pPr>
        <w:pStyle w:val="Senseespaiat"/>
        <w:spacing w:after="120" w:line="276" w:lineRule="auto"/>
        <w:jc w:val="both"/>
        <w:rPr>
          <w:sz w:val="24"/>
          <w:szCs w:val="24"/>
          <w:lang w:val="es-ES"/>
        </w:rPr>
      </w:pPr>
      <w:r w:rsidRPr="00525724">
        <w:rPr>
          <w:sz w:val="24"/>
          <w:szCs w:val="24"/>
          <w:lang w:val="es-ES"/>
        </w:rPr>
        <w:t>Mattelart describe los orígenes y las formas actu</w:t>
      </w:r>
      <w:r>
        <w:rPr>
          <w:sz w:val="24"/>
          <w:szCs w:val="24"/>
          <w:lang w:val="es-ES"/>
        </w:rPr>
        <w:t>ales de vigilancia y control,</w:t>
      </w:r>
      <w:r w:rsidRPr="00525724">
        <w:rPr>
          <w:sz w:val="24"/>
          <w:szCs w:val="24"/>
          <w:lang w:val="es-ES"/>
        </w:rPr>
        <w:t xml:space="preserve"> las nuevas técnicas de observación y espionaje no detectables por los ciudadanos y que permiten violar su intimidad (artilugios de videovigilancia, huellas dactilares y, ahora, huellas genéticas). A escala internacional la existencia de grandes redes de control de la información, como </w:t>
      </w:r>
      <w:proofErr w:type="spellStart"/>
      <w:r w:rsidRPr="00525724">
        <w:rPr>
          <w:sz w:val="24"/>
          <w:szCs w:val="24"/>
          <w:lang w:val="es-ES"/>
        </w:rPr>
        <w:t>Echelon</w:t>
      </w:r>
      <w:proofErr w:type="spellEnd"/>
      <w:r w:rsidRPr="00525724">
        <w:rPr>
          <w:sz w:val="24"/>
          <w:szCs w:val="24"/>
          <w:lang w:val="es-ES"/>
        </w:rPr>
        <w:t>, red</w:t>
      </w:r>
      <w:r w:rsidRPr="00525724">
        <w:rPr>
          <w:color w:val="FFFFFF"/>
          <w:sz w:val="24"/>
          <w:szCs w:val="24"/>
          <w:lang w:val="es-ES"/>
        </w:rPr>
        <w:t xml:space="preserve"> </w:t>
      </w:r>
      <w:r w:rsidRPr="00525724">
        <w:rPr>
          <w:sz w:val="24"/>
          <w:szCs w:val="24"/>
          <w:lang w:val="es-ES"/>
        </w:rPr>
        <w:t xml:space="preserve">diseñada por la Agencia de Seguridad Nacional de Estados Unidos que se inició con la guerra fría y en el que participan, además de Estados Unidos, Canadá, Gran Bretaña, Australia y Nueva Zelanda, es capaz en la actualidad de controlar inmensas cantidades de datos, interceptando conversaciones telefónicas, </w:t>
      </w:r>
      <w:r>
        <w:rPr>
          <w:sz w:val="24"/>
          <w:szCs w:val="24"/>
          <w:lang w:val="es-ES"/>
        </w:rPr>
        <w:t>correos electrónicos</w:t>
      </w:r>
      <w:r w:rsidRPr="00525724">
        <w:rPr>
          <w:sz w:val="24"/>
          <w:szCs w:val="24"/>
          <w:lang w:val="es-ES"/>
        </w:rPr>
        <w:t>, etc.</w:t>
      </w:r>
    </w:p>
    <w:p w14:paraId="56EBD9C0" w14:textId="77777777" w:rsidR="00B911AE" w:rsidRPr="00525724" w:rsidRDefault="00B911AE" w:rsidP="00B911AE">
      <w:pPr>
        <w:pStyle w:val="Senseespaiat"/>
        <w:spacing w:after="120" w:line="276" w:lineRule="auto"/>
        <w:jc w:val="both"/>
        <w:rPr>
          <w:sz w:val="24"/>
          <w:szCs w:val="24"/>
          <w:lang w:val="es-ES"/>
        </w:rPr>
      </w:pPr>
      <w:r w:rsidRPr="00525724">
        <w:rPr>
          <w:sz w:val="24"/>
          <w:szCs w:val="24"/>
          <w:lang w:val="es-ES"/>
        </w:rPr>
        <w:t>Existe una razón estructural de esta red de control, la propia naturaleza del complejo de la industria telemática y del complejo militar. Se confirma de nuevo lo que ya fue analizado por Mattelart muchos años antes, en el estudio de la introducción de las tecnologías: el sistema militar es el primero en promover las sinergias con los sectores civil, industrial y universitario para configurar estas redes, lo que cuestiona algunas visiones optimistas sobre la visión de la “esfera pública comunitaria”.</w:t>
      </w:r>
    </w:p>
    <w:p w14:paraId="310D8021" w14:textId="77777777" w:rsidR="00B911AE" w:rsidRPr="00525724" w:rsidRDefault="00B911AE" w:rsidP="00B911AE">
      <w:pPr>
        <w:pStyle w:val="Senseespaiat"/>
        <w:spacing w:after="120" w:line="276" w:lineRule="auto"/>
        <w:jc w:val="both"/>
        <w:rPr>
          <w:sz w:val="24"/>
          <w:szCs w:val="24"/>
          <w:lang w:val="es-ES"/>
        </w:rPr>
      </w:pPr>
      <w:r w:rsidRPr="00525724">
        <w:rPr>
          <w:sz w:val="24"/>
          <w:szCs w:val="24"/>
          <w:lang w:val="es-ES"/>
        </w:rPr>
        <w:t>En definitiva, el hombre libre va perdiendo terreno a medida que avanzan las técnicas de vigilancia, las dinámicas de mundialización y las posibilidades de manipulación de los estados.</w:t>
      </w:r>
    </w:p>
    <w:p w14:paraId="6DF9429C" w14:textId="77777777" w:rsidR="00B911AE" w:rsidRPr="00525724" w:rsidRDefault="00B911AE" w:rsidP="00B911AE">
      <w:pPr>
        <w:spacing w:after="120"/>
        <w:jc w:val="both"/>
        <w:rPr>
          <w:sz w:val="24"/>
          <w:szCs w:val="24"/>
          <w:lang w:val="es-ES"/>
        </w:rPr>
      </w:pPr>
      <w:r w:rsidRPr="00525724">
        <w:rPr>
          <w:sz w:val="24"/>
          <w:szCs w:val="24"/>
          <w:lang w:val="es-ES"/>
        </w:rPr>
        <w:t xml:space="preserve">Se avanza otra novedad: la posibilidad de controlar por anticipación, usando “máquinas inteligentes” capaces de orientarse con los datos disponibles y combinables de este sistema de vigilancia, continuamente alimentado por las tecnologías de la información y la acumulación de datos obtenidos gracias a las tarjetas de crédito, al uso de los códigos de barras, a los mensajes personales y profesionales que se difunden por internet, o a la propia ingenuidad de los ciudadanos al hacer circular sus datos en las redes sociales: </w:t>
      </w:r>
      <w:r w:rsidRPr="00525724">
        <w:rPr>
          <w:i/>
          <w:sz w:val="24"/>
          <w:szCs w:val="24"/>
          <w:lang w:val="es-ES"/>
        </w:rPr>
        <w:t>“En esta sociedad de control generalizado regido por el modelo de referencia gerencial, el poder de anticiparse al comportamiento de los individuos, de identificar la probabilidad de una determinada conducta, de construir categorías sobre la base de frecuencias estadísticas es el hilo rojo que recorre los “estilos” de los especialistas en mercadotecnia, las “cuentas” de los financieros y los “perfiles” de los policías</w:t>
      </w:r>
      <w:r w:rsidRPr="00525724">
        <w:rPr>
          <w:sz w:val="24"/>
          <w:szCs w:val="24"/>
          <w:lang w:val="es-ES"/>
        </w:rPr>
        <w:t>” (Mattelart, 2009: 233).</w:t>
      </w:r>
    </w:p>
    <w:p w14:paraId="0E7D4599" w14:textId="77777777" w:rsidR="00B911AE" w:rsidRPr="00525724" w:rsidRDefault="00B911AE" w:rsidP="00B911AE">
      <w:pPr>
        <w:spacing w:after="120"/>
        <w:jc w:val="both"/>
        <w:rPr>
          <w:sz w:val="24"/>
          <w:szCs w:val="24"/>
          <w:lang w:val="es-ES"/>
        </w:rPr>
      </w:pPr>
      <w:r w:rsidRPr="00525724">
        <w:rPr>
          <w:sz w:val="24"/>
          <w:szCs w:val="24"/>
          <w:lang w:val="es-ES"/>
        </w:rPr>
        <w:t>Al referirme al modelo cibernético de Wiener ya señalaba la novedad que puede significar la aparición de estas nuevas “máquinas inteligentes” (</w:t>
      </w:r>
      <w:proofErr w:type="spellStart"/>
      <w:r w:rsidRPr="00525724">
        <w:rPr>
          <w:i/>
          <w:sz w:val="24"/>
          <w:szCs w:val="24"/>
          <w:lang w:val="es-ES"/>
        </w:rPr>
        <w:t>learning</w:t>
      </w:r>
      <w:proofErr w:type="spellEnd"/>
      <w:r w:rsidRPr="00525724">
        <w:rPr>
          <w:i/>
          <w:sz w:val="24"/>
          <w:szCs w:val="24"/>
          <w:lang w:val="es-ES"/>
        </w:rPr>
        <w:t xml:space="preserve"> machines</w:t>
      </w:r>
      <w:r w:rsidRPr="00525724">
        <w:rPr>
          <w:sz w:val="24"/>
          <w:szCs w:val="24"/>
          <w:lang w:val="es-ES"/>
        </w:rPr>
        <w:t xml:space="preserve">) capaces de dar respuestas condicionadas gracias a su capacidad de procesamiento de datos. Ya no se trata </w:t>
      </w:r>
      <w:r w:rsidRPr="00525724">
        <w:rPr>
          <w:sz w:val="24"/>
          <w:szCs w:val="24"/>
          <w:lang w:val="es-ES"/>
        </w:rPr>
        <w:lastRenderedPageBreak/>
        <w:t xml:space="preserve">de una respuesta programada a cada estímulo, sino de la respuesta adaptada a la experiencia de múltiples datos interconectados. </w:t>
      </w:r>
    </w:p>
    <w:p w14:paraId="76E3B9D9" w14:textId="77777777" w:rsidR="00B911AE" w:rsidRPr="00525724" w:rsidRDefault="00B911AE" w:rsidP="00B911AE">
      <w:pPr>
        <w:spacing w:after="120"/>
        <w:jc w:val="both"/>
        <w:rPr>
          <w:sz w:val="24"/>
          <w:szCs w:val="24"/>
          <w:lang w:val="es-ES"/>
        </w:rPr>
      </w:pPr>
      <w:r w:rsidRPr="00525724">
        <w:rPr>
          <w:sz w:val="24"/>
          <w:szCs w:val="24"/>
          <w:lang w:val="es-ES"/>
        </w:rPr>
        <w:t>Mattelart nos advierte de la fragilidad de la ciudadanía ante estas nuevas formas de control, muchas de ellas instrumentalizadas a través de procesos aparentemente intrascendentes de comunicación en las redes sociales, paradoja no muy distinta a la que este mismo autor descubría en los años 70 al analizar la penetración de las formas de dominación a través del entretenimiento.</w:t>
      </w:r>
    </w:p>
    <w:p w14:paraId="67161709" w14:textId="77777777" w:rsidR="00572813" w:rsidRDefault="00572813"/>
    <w:sectPr w:rsidR="00572813">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DDD56" w14:textId="77777777" w:rsidR="009C35C5" w:rsidRDefault="009C35C5" w:rsidP="00B911AE">
      <w:pPr>
        <w:spacing w:after="0" w:line="240" w:lineRule="auto"/>
      </w:pPr>
      <w:r>
        <w:separator/>
      </w:r>
    </w:p>
  </w:endnote>
  <w:endnote w:type="continuationSeparator" w:id="0">
    <w:p w14:paraId="1F5B37FC" w14:textId="77777777" w:rsidR="009C35C5" w:rsidRDefault="009C35C5" w:rsidP="00B91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87EEE" w14:textId="77777777" w:rsidR="00B911AE" w:rsidRDefault="00B911AE">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474666"/>
      <w:docPartObj>
        <w:docPartGallery w:val="Page Numbers (Bottom of Page)"/>
        <w:docPartUnique/>
      </w:docPartObj>
    </w:sdtPr>
    <w:sdtContent>
      <w:p w14:paraId="57C5B26D" w14:textId="36E225CB" w:rsidR="00B911AE" w:rsidRDefault="00B911AE">
        <w:pPr>
          <w:pStyle w:val="Peu"/>
          <w:jc w:val="center"/>
        </w:pPr>
        <w:r>
          <w:fldChar w:fldCharType="begin"/>
        </w:r>
        <w:r>
          <w:instrText>PAGE   \* MERGEFORMAT</w:instrText>
        </w:r>
        <w:r>
          <w:fldChar w:fldCharType="separate"/>
        </w:r>
        <w:r>
          <w:rPr>
            <w:lang w:val="es-ES"/>
          </w:rPr>
          <w:t>2</w:t>
        </w:r>
        <w:r>
          <w:fldChar w:fldCharType="end"/>
        </w:r>
      </w:p>
    </w:sdtContent>
  </w:sdt>
  <w:p w14:paraId="1F6198FE" w14:textId="77777777" w:rsidR="00B911AE" w:rsidRDefault="00B911AE">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3AF6" w14:textId="77777777" w:rsidR="00B911AE" w:rsidRDefault="00B911A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6CCEE" w14:textId="77777777" w:rsidR="009C35C5" w:rsidRDefault="009C35C5" w:rsidP="00B911AE">
      <w:pPr>
        <w:spacing w:after="0" w:line="240" w:lineRule="auto"/>
      </w:pPr>
      <w:r>
        <w:separator/>
      </w:r>
    </w:p>
  </w:footnote>
  <w:footnote w:type="continuationSeparator" w:id="0">
    <w:p w14:paraId="654460EE" w14:textId="77777777" w:rsidR="009C35C5" w:rsidRDefault="009C35C5" w:rsidP="00B911AE">
      <w:pPr>
        <w:spacing w:after="0" w:line="240" w:lineRule="auto"/>
      </w:pPr>
      <w:r>
        <w:continuationSeparator/>
      </w:r>
    </w:p>
  </w:footnote>
  <w:footnote w:id="1">
    <w:p w14:paraId="195DADAD" w14:textId="77777777" w:rsidR="00B911AE" w:rsidRDefault="00B911AE" w:rsidP="00B911AE">
      <w:pPr>
        <w:pStyle w:val="Senseespaiat"/>
        <w:ind w:left="284" w:hanging="284"/>
        <w:rPr>
          <w:lang w:val="es-ES"/>
        </w:rPr>
      </w:pPr>
      <w:r>
        <w:rPr>
          <w:rStyle w:val="Refernciadenotaapeudepgina"/>
          <w:sz w:val="20"/>
        </w:rPr>
        <w:footnoteRef/>
      </w:r>
      <w:r>
        <w:rPr>
          <w:lang w:val="es-ES"/>
        </w:rPr>
        <w:t xml:space="preserve"> </w:t>
      </w:r>
      <w:r>
        <w:rPr>
          <w:lang w:val="es-ES"/>
        </w:rPr>
        <w:tab/>
        <w:t xml:space="preserve">Entrevista a Armand Mattelart en </w:t>
      </w:r>
      <w:r>
        <w:rPr>
          <w:i/>
          <w:lang w:val="es-ES"/>
        </w:rPr>
        <w:t>Revista de Economía Política de las Tecnologías de la Información</w:t>
      </w:r>
      <w:r>
        <w:rPr>
          <w:lang w:val="es-ES"/>
        </w:rPr>
        <w:t xml:space="preserve">, vol. 5, nº 1, enero 2003. </w:t>
      </w:r>
    </w:p>
  </w:footnote>
  <w:footnote w:id="2">
    <w:p w14:paraId="39DC726E" w14:textId="77777777" w:rsidR="00B911AE" w:rsidRDefault="00B911AE" w:rsidP="00B911AE">
      <w:pPr>
        <w:ind w:left="284" w:hanging="284"/>
        <w:rPr>
          <w:lang w:val="es-ES"/>
        </w:rPr>
      </w:pPr>
      <w:r>
        <w:rPr>
          <w:rStyle w:val="Refernciadenotaapeudepgina"/>
          <w:sz w:val="20"/>
        </w:rPr>
        <w:footnoteRef/>
      </w:r>
      <w:r>
        <w:t xml:space="preserve"> </w:t>
      </w:r>
      <w:r>
        <w:tab/>
        <w:t xml:space="preserve">Entrevista a Armand Mattelart en </w:t>
      </w:r>
      <w:r w:rsidRPr="006073B7">
        <w:rPr>
          <w:i/>
        </w:rPr>
        <w:t>Portal de la Comunicación</w:t>
      </w:r>
      <w:r>
        <w:t>, InCom-UAB,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702B" w14:textId="77777777" w:rsidR="00B911AE" w:rsidRDefault="00B911AE">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5E65F" w14:textId="77777777" w:rsidR="00B911AE" w:rsidRDefault="00B911AE">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3A95" w14:textId="77777777" w:rsidR="00B911AE" w:rsidRDefault="00B911A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25216"/>
    <w:multiLevelType w:val="hybridMultilevel"/>
    <w:tmpl w:val="C68A4DAA"/>
    <w:lvl w:ilvl="0" w:tplc="65B06BC4">
      <w:start w:val="1"/>
      <w:numFmt w:val="bullet"/>
      <w:lvlText w:val="-"/>
      <w:lvlJc w:val="left"/>
      <w:pPr>
        <w:ind w:left="720" w:hanging="360"/>
      </w:pPr>
      <w:rPr>
        <w:rFonts w:ascii="Times New Roman" w:eastAsiaTheme="minorHAnsi"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16cid:durableId="13973164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1AE"/>
    <w:rsid w:val="00021FD9"/>
    <w:rsid w:val="0007620E"/>
    <w:rsid w:val="002F490C"/>
    <w:rsid w:val="003C1DBC"/>
    <w:rsid w:val="003C231C"/>
    <w:rsid w:val="003D40BF"/>
    <w:rsid w:val="003F19A5"/>
    <w:rsid w:val="005553CC"/>
    <w:rsid w:val="00572813"/>
    <w:rsid w:val="005D1056"/>
    <w:rsid w:val="0064467E"/>
    <w:rsid w:val="009C35C5"/>
    <w:rsid w:val="00AF3D87"/>
    <w:rsid w:val="00B911AE"/>
    <w:rsid w:val="00CF65F2"/>
    <w:rsid w:val="00D6635A"/>
    <w:rsid w:val="00E15C4A"/>
    <w:rsid w:val="00E849FD"/>
    <w:rsid w:val="00F31DEA"/>
    <w:rsid w:val="00FC6D8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11F1C"/>
  <w15:chartTrackingRefBased/>
  <w15:docId w15:val="{F3AE81A6-1611-463F-93AF-BA57FE50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1AE"/>
    <w:pPr>
      <w:spacing w:after="200" w:line="276" w:lineRule="auto"/>
    </w:pPr>
    <w:rPr>
      <w:rFonts w:ascii="Times New Roman" w:hAnsi="Times New Roman" w:cs="Times New Roman"/>
      <w:kern w:val="0"/>
      <w14:ligatures w14:val="none"/>
    </w:rPr>
  </w:style>
  <w:style w:type="paragraph" w:styleId="Ttol1">
    <w:name w:val="heading 1"/>
    <w:basedOn w:val="Normal"/>
    <w:next w:val="Normal"/>
    <w:link w:val="Ttol1Car"/>
    <w:uiPriority w:val="9"/>
    <w:qFormat/>
    <w:rsid w:val="00B91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B91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B911AE"/>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B911AE"/>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B911AE"/>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B911AE"/>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B911AE"/>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B911AE"/>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B911AE"/>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B911AE"/>
    <w:rPr>
      <w:rFonts w:asciiTheme="majorHAnsi" w:eastAsiaTheme="majorEastAsia" w:hAnsiTheme="majorHAnsi" w:cstheme="majorBidi"/>
      <w:color w:val="0F4761" w:themeColor="accent1" w:themeShade="BF"/>
      <w:sz w:val="40"/>
      <w:szCs w:val="40"/>
      <w:lang w:val="es-ES"/>
    </w:rPr>
  </w:style>
  <w:style w:type="character" w:customStyle="1" w:styleId="Ttol2Car">
    <w:name w:val="Títol 2 Car"/>
    <w:basedOn w:val="Lletraperdefectedelpargraf"/>
    <w:link w:val="Ttol2"/>
    <w:uiPriority w:val="9"/>
    <w:semiHidden/>
    <w:rsid w:val="00B911AE"/>
    <w:rPr>
      <w:rFonts w:asciiTheme="majorHAnsi" w:eastAsiaTheme="majorEastAsia" w:hAnsiTheme="majorHAnsi" w:cstheme="majorBidi"/>
      <w:color w:val="0F4761" w:themeColor="accent1" w:themeShade="BF"/>
      <w:sz w:val="32"/>
      <w:szCs w:val="32"/>
      <w:lang w:val="es-ES"/>
    </w:rPr>
  </w:style>
  <w:style w:type="character" w:customStyle="1" w:styleId="Ttol3Car">
    <w:name w:val="Títol 3 Car"/>
    <w:basedOn w:val="Lletraperdefectedelpargraf"/>
    <w:link w:val="Ttol3"/>
    <w:uiPriority w:val="9"/>
    <w:semiHidden/>
    <w:rsid w:val="00B911AE"/>
    <w:rPr>
      <w:rFonts w:eastAsiaTheme="majorEastAsia" w:cstheme="majorBidi"/>
      <w:color w:val="0F4761" w:themeColor="accent1" w:themeShade="BF"/>
      <w:sz w:val="28"/>
      <w:szCs w:val="28"/>
      <w:lang w:val="es-ES"/>
    </w:rPr>
  </w:style>
  <w:style w:type="character" w:customStyle="1" w:styleId="Ttol4Car">
    <w:name w:val="Títol 4 Car"/>
    <w:basedOn w:val="Lletraperdefectedelpargraf"/>
    <w:link w:val="Ttol4"/>
    <w:uiPriority w:val="9"/>
    <w:semiHidden/>
    <w:rsid w:val="00B911AE"/>
    <w:rPr>
      <w:rFonts w:eastAsiaTheme="majorEastAsia" w:cstheme="majorBidi"/>
      <w:i/>
      <w:iCs/>
      <w:color w:val="0F4761" w:themeColor="accent1" w:themeShade="BF"/>
      <w:lang w:val="es-ES"/>
    </w:rPr>
  </w:style>
  <w:style w:type="character" w:customStyle="1" w:styleId="Ttol5Car">
    <w:name w:val="Títol 5 Car"/>
    <w:basedOn w:val="Lletraperdefectedelpargraf"/>
    <w:link w:val="Ttol5"/>
    <w:uiPriority w:val="9"/>
    <w:semiHidden/>
    <w:rsid w:val="00B911AE"/>
    <w:rPr>
      <w:rFonts w:eastAsiaTheme="majorEastAsia" w:cstheme="majorBidi"/>
      <w:color w:val="0F4761" w:themeColor="accent1" w:themeShade="BF"/>
      <w:lang w:val="es-ES"/>
    </w:rPr>
  </w:style>
  <w:style w:type="character" w:customStyle="1" w:styleId="Ttol6Car">
    <w:name w:val="Títol 6 Car"/>
    <w:basedOn w:val="Lletraperdefectedelpargraf"/>
    <w:link w:val="Ttol6"/>
    <w:uiPriority w:val="9"/>
    <w:semiHidden/>
    <w:rsid w:val="00B911AE"/>
    <w:rPr>
      <w:rFonts w:eastAsiaTheme="majorEastAsia" w:cstheme="majorBidi"/>
      <w:i/>
      <w:iCs/>
      <w:color w:val="595959" w:themeColor="text1" w:themeTint="A6"/>
      <w:lang w:val="es-ES"/>
    </w:rPr>
  </w:style>
  <w:style w:type="character" w:customStyle="1" w:styleId="Ttol7Car">
    <w:name w:val="Títol 7 Car"/>
    <w:basedOn w:val="Lletraperdefectedelpargraf"/>
    <w:link w:val="Ttol7"/>
    <w:uiPriority w:val="9"/>
    <w:semiHidden/>
    <w:rsid w:val="00B911AE"/>
    <w:rPr>
      <w:rFonts w:eastAsiaTheme="majorEastAsia" w:cstheme="majorBidi"/>
      <w:color w:val="595959" w:themeColor="text1" w:themeTint="A6"/>
      <w:lang w:val="es-ES"/>
    </w:rPr>
  </w:style>
  <w:style w:type="character" w:customStyle="1" w:styleId="Ttol8Car">
    <w:name w:val="Títol 8 Car"/>
    <w:basedOn w:val="Lletraperdefectedelpargraf"/>
    <w:link w:val="Ttol8"/>
    <w:uiPriority w:val="9"/>
    <w:semiHidden/>
    <w:rsid w:val="00B911AE"/>
    <w:rPr>
      <w:rFonts w:eastAsiaTheme="majorEastAsia" w:cstheme="majorBidi"/>
      <w:i/>
      <w:iCs/>
      <w:color w:val="272727" w:themeColor="text1" w:themeTint="D8"/>
      <w:lang w:val="es-ES"/>
    </w:rPr>
  </w:style>
  <w:style w:type="character" w:customStyle="1" w:styleId="Ttol9Car">
    <w:name w:val="Títol 9 Car"/>
    <w:basedOn w:val="Lletraperdefectedelpargraf"/>
    <w:link w:val="Ttol9"/>
    <w:uiPriority w:val="9"/>
    <w:semiHidden/>
    <w:rsid w:val="00B911AE"/>
    <w:rPr>
      <w:rFonts w:eastAsiaTheme="majorEastAsia" w:cstheme="majorBidi"/>
      <w:color w:val="272727" w:themeColor="text1" w:themeTint="D8"/>
      <w:lang w:val="es-ES"/>
    </w:rPr>
  </w:style>
  <w:style w:type="paragraph" w:styleId="Ttol">
    <w:name w:val="Title"/>
    <w:basedOn w:val="Normal"/>
    <w:next w:val="Normal"/>
    <w:link w:val="TtolCar"/>
    <w:uiPriority w:val="10"/>
    <w:qFormat/>
    <w:rsid w:val="00B91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B911AE"/>
    <w:rPr>
      <w:rFonts w:asciiTheme="majorHAnsi" w:eastAsiaTheme="majorEastAsia" w:hAnsiTheme="majorHAnsi" w:cstheme="majorBidi"/>
      <w:spacing w:val="-10"/>
      <w:kern w:val="28"/>
      <w:sz w:val="56"/>
      <w:szCs w:val="56"/>
      <w:lang w:val="es-ES"/>
    </w:rPr>
  </w:style>
  <w:style w:type="paragraph" w:styleId="Subttol">
    <w:name w:val="Subtitle"/>
    <w:basedOn w:val="Normal"/>
    <w:next w:val="Normal"/>
    <w:link w:val="SubttolCar"/>
    <w:uiPriority w:val="11"/>
    <w:qFormat/>
    <w:rsid w:val="00B911AE"/>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B911AE"/>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B911AE"/>
    <w:pPr>
      <w:spacing w:before="160"/>
      <w:jc w:val="center"/>
    </w:pPr>
    <w:rPr>
      <w:i/>
      <w:iCs/>
      <w:color w:val="404040" w:themeColor="text1" w:themeTint="BF"/>
    </w:rPr>
  </w:style>
  <w:style w:type="character" w:customStyle="1" w:styleId="CitaCar">
    <w:name w:val="Cita Car"/>
    <w:basedOn w:val="Lletraperdefectedelpargraf"/>
    <w:link w:val="Cita"/>
    <w:uiPriority w:val="29"/>
    <w:rsid w:val="00B911AE"/>
    <w:rPr>
      <w:i/>
      <w:iCs/>
      <w:color w:val="404040" w:themeColor="text1" w:themeTint="BF"/>
      <w:lang w:val="es-ES"/>
    </w:rPr>
  </w:style>
  <w:style w:type="paragraph" w:styleId="Pargrafdellista">
    <w:name w:val="List Paragraph"/>
    <w:basedOn w:val="Normal"/>
    <w:uiPriority w:val="34"/>
    <w:qFormat/>
    <w:rsid w:val="00B911AE"/>
    <w:pPr>
      <w:ind w:left="720"/>
      <w:contextualSpacing/>
    </w:pPr>
  </w:style>
  <w:style w:type="character" w:styleId="mfasiintens">
    <w:name w:val="Intense Emphasis"/>
    <w:basedOn w:val="Lletraperdefectedelpargraf"/>
    <w:uiPriority w:val="21"/>
    <w:qFormat/>
    <w:rsid w:val="00B911AE"/>
    <w:rPr>
      <w:i/>
      <w:iCs/>
      <w:color w:val="0F4761" w:themeColor="accent1" w:themeShade="BF"/>
    </w:rPr>
  </w:style>
  <w:style w:type="paragraph" w:styleId="Citaintensa">
    <w:name w:val="Intense Quote"/>
    <w:basedOn w:val="Normal"/>
    <w:next w:val="Normal"/>
    <w:link w:val="CitaintensaCar"/>
    <w:uiPriority w:val="30"/>
    <w:qFormat/>
    <w:rsid w:val="00B91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B911AE"/>
    <w:rPr>
      <w:i/>
      <w:iCs/>
      <w:color w:val="0F4761" w:themeColor="accent1" w:themeShade="BF"/>
      <w:lang w:val="es-ES"/>
    </w:rPr>
  </w:style>
  <w:style w:type="character" w:styleId="Refernciaintensa">
    <w:name w:val="Intense Reference"/>
    <w:basedOn w:val="Lletraperdefectedelpargraf"/>
    <w:uiPriority w:val="32"/>
    <w:qFormat/>
    <w:rsid w:val="00B911AE"/>
    <w:rPr>
      <w:b/>
      <w:bCs/>
      <w:smallCaps/>
      <w:color w:val="0F4761" w:themeColor="accent1" w:themeShade="BF"/>
      <w:spacing w:val="5"/>
    </w:rPr>
  </w:style>
  <w:style w:type="paragraph" w:styleId="Senseespaiat">
    <w:name w:val="No Spacing"/>
    <w:uiPriority w:val="1"/>
    <w:qFormat/>
    <w:rsid w:val="00B911AE"/>
    <w:pPr>
      <w:spacing w:after="0" w:line="240" w:lineRule="auto"/>
    </w:pPr>
    <w:rPr>
      <w:rFonts w:ascii="Times New Roman" w:hAnsi="Times New Roman" w:cs="Times New Roman"/>
      <w:kern w:val="0"/>
      <w14:ligatures w14:val="none"/>
    </w:rPr>
  </w:style>
  <w:style w:type="character" w:styleId="Refernciadenotaapeudepgina">
    <w:name w:val="footnote reference"/>
    <w:basedOn w:val="Lletraperdefectedelpargraf"/>
    <w:uiPriority w:val="99"/>
    <w:unhideWhenUsed/>
    <w:rsid w:val="00B911AE"/>
    <w:rPr>
      <w:vertAlign w:val="superscript"/>
    </w:rPr>
  </w:style>
  <w:style w:type="character" w:customStyle="1" w:styleId="briefcittitle1">
    <w:name w:val="briefcittitle1"/>
    <w:basedOn w:val="Lletraperdefectedelpargraf"/>
    <w:rsid w:val="00B911AE"/>
    <w:rPr>
      <w:rFonts w:ascii="Arial" w:hAnsi="Arial" w:cs="Arial" w:hint="default"/>
      <w:b/>
      <w:bCs/>
      <w:sz w:val="11"/>
      <w:szCs w:val="11"/>
    </w:rPr>
  </w:style>
  <w:style w:type="character" w:customStyle="1" w:styleId="googqs-tidbit-0">
    <w:name w:val="goog_qs-tidbit-0"/>
    <w:basedOn w:val="Lletraperdefectedelpargraf"/>
    <w:rsid w:val="00B911AE"/>
  </w:style>
  <w:style w:type="paragraph" w:styleId="Capalera">
    <w:name w:val="header"/>
    <w:basedOn w:val="Normal"/>
    <w:link w:val="CapaleraCar"/>
    <w:uiPriority w:val="99"/>
    <w:unhideWhenUsed/>
    <w:rsid w:val="00B911AE"/>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B911AE"/>
    <w:rPr>
      <w:rFonts w:ascii="Times New Roman" w:hAnsi="Times New Roman" w:cs="Times New Roman"/>
      <w:kern w:val="0"/>
      <w14:ligatures w14:val="none"/>
    </w:rPr>
  </w:style>
  <w:style w:type="paragraph" w:styleId="Peu">
    <w:name w:val="footer"/>
    <w:basedOn w:val="Normal"/>
    <w:link w:val="PeuCar"/>
    <w:uiPriority w:val="99"/>
    <w:unhideWhenUsed/>
    <w:rsid w:val="00B911AE"/>
    <w:pPr>
      <w:tabs>
        <w:tab w:val="center" w:pos="4252"/>
        <w:tab w:val="right" w:pos="8504"/>
      </w:tabs>
      <w:spacing w:after="0" w:line="240" w:lineRule="auto"/>
    </w:pPr>
  </w:style>
  <w:style w:type="character" w:customStyle="1" w:styleId="PeuCar">
    <w:name w:val="Peu Car"/>
    <w:basedOn w:val="Lletraperdefectedelpargraf"/>
    <w:link w:val="Peu"/>
    <w:uiPriority w:val="99"/>
    <w:rsid w:val="00B911AE"/>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9</Pages>
  <Words>3983</Words>
  <Characters>21910</Characters>
  <Application>Microsoft Office Word</Application>
  <DocSecurity>0</DocSecurity>
  <Lines>182</Lines>
  <Paragraphs>51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Moragas Spa</dc:creator>
  <cp:keywords/>
  <dc:description/>
  <cp:lastModifiedBy>Isabel Fernandez Alonso</cp:lastModifiedBy>
  <cp:revision>3</cp:revision>
  <dcterms:created xsi:type="dcterms:W3CDTF">2025-11-04T16:10:00Z</dcterms:created>
  <dcterms:modified xsi:type="dcterms:W3CDTF">2025-11-04T18:20:00Z</dcterms:modified>
</cp:coreProperties>
</file>